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黑体" w:eastAsia="黑体"/>
          <w:bCs/>
          <w:sz w:val="32"/>
        </w:rPr>
      </w:pPr>
      <w:r>
        <w:rPr>
          <w:rFonts w:hint="eastAsia" w:ascii="黑体" w:eastAsia="黑体"/>
          <w:bCs/>
          <w:sz w:val="32"/>
        </w:rPr>
        <w:t>附件：</w:t>
      </w:r>
    </w:p>
    <w:p>
      <w:pPr>
        <w:spacing w:line="600" w:lineRule="exact"/>
        <w:jc w:val="center"/>
        <w:rPr>
          <w:rFonts w:hint="eastAsia" w:ascii="方正小标宋简体" w:eastAsia="方正小标宋简体"/>
          <w:b/>
          <w:bCs/>
          <w:sz w:val="44"/>
          <w:szCs w:val="44"/>
        </w:rPr>
      </w:pPr>
      <w:bookmarkStart w:id="0" w:name="_Hlk199512984"/>
      <w:r>
        <w:rPr>
          <w:rFonts w:hint="eastAsia" w:ascii="方正小标宋简体" w:eastAsia="方正小标宋简体"/>
          <w:b/>
          <w:bCs/>
          <w:sz w:val="44"/>
          <w:szCs w:val="44"/>
        </w:rPr>
        <w:t>温岭市第一人民医院新增</w:t>
      </w:r>
    </w:p>
    <w:p>
      <w:pPr>
        <w:spacing w:line="600" w:lineRule="exact"/>
        <w:jc w:val="center"/>
        <w:rPr>
          <w:rFonts w:hint="eastAsia" w:ascii="方正小标宋简体" w:eastAsia="方正小标宋简体"/>
          <w:b/>
          <w:bCs/>
          <w:sz w:val="44"/>
          <w:szCs w:val="44"/>
        </w:rPr>
      </w:pPr>
      <w:r>
        <w:rPr>
          <w:rFonts w:hint="eastAsia" w:ascii="方正小标宋简体" w:eastAsia="方正小标宋简体"/>
          <w:b/>
          <w:bCs/>
          <w:sz w:val="44"/>
          <w:szCs w:val="44"/>
        </w:rPr>
        <w:t>自主定价（特需）医疗服务项目汇总表</w:t>
      </w:r>
    </w:p>
    <w:bookmarkEnd w:id="0"/>
    <w:tbl>
      <w:tblPr>
        <w:tblStyle w:val="2"/>
        <w:tblW w:w="9751" w:type="dxa"/>
        <w:jc w:val="center"/>
        <w:tblLayout w:type="fixed"/>
        <w:tblCellMar>
          <w:top w:w="0" w:type="dxa"/>
          <w:left w:w="108" w:type="dxa"/>
          <w:bottom w:w="0" w:type="dxa"/>
          <w:right w:w="108" w:type="dxa"/>
        </w:tblCellMar>
      </w:tblPr>
      <w:tblGrid>
        <w:gridCol w:w="638"/>
        <w:gridCol w:w="1120"/>
        <w:gridCol w:w="1418"/>
        <w:gridCol w:w="3162"/>
        <w:gridCol w:w="590"/>
        <w:gridCol w:w="851"/>
        <w:gridCol w:w="1042"/>
        <w:gridCol w:w="930"/>
      </w:tblGrid>
      <w:tr>
        <w:tblPrEx>
          <w:tblCellMar>
            <w:top w:w="0" w:type="dxa"/>
            <w:left w:w="108" w:type="dxa"/>
            <w:bottom w:w="0" w:type="dxa"/>
            <w:right w:w="108" w:type="dxa"/>
          </w:tblCellMar>
        </w:tblPrEx>
        <w:trPr>
          <w:trHeight w:val="661" w:hRule="atLeast"/>
          <w:jc w:val="center"/>
        </w:trPr>
        <w:tc>
          <w:tcPr>
            <w:tcW w:w="6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spacing w:line="260" w:lineRule="exact"/>
              <w:jc w:val="center"/>
              <w:textAlignment w:val="center"/>
              <w:rPr>
                <w:rFonts w:hint="eastAsia" w:ascii="仿宋_GB2312" w:hAnsi="宋体" w:eastAsia="仿宋_GB2312" w:cs="宋体"/>
                <w:b/>
                <w:color w:val="000000"/>
                <w:kern w:val="0"/>
                <w:sz w:val="24"/>
                <w:lang w:bidi="ar"/>
              </w:rPr>
            </w:pPr>
            <w:r>
              <w:rPr>
                <w:rFonts w:hint="eastAsia" w:ascii="仿宋_GB2312" w:hAnsi="宋体" w:eastAsia="仿宋_GB2312" w:cs="宋体"/>
                <w:b/>
                <w:color w:val="000000"/>
                <w:kern w:val="0"/>
                <w:sz w:val="24"/>
                <w:lang w:bidi="ar"/>
              </w:rPr>
              <w:t>序号</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b/>
                <w:color w:val="000000"/>
                <w:sz w:val="24"/>
              </w:rPr>
            </w:pPr>
            <w:r>
              <w:rPr>
                <w:rFonts w:hint="eastAsia" w:ascii="仿宋_GB2312" w:hAnsi="宋体" w:eastAsia="仿宋_GB2312" w:cs="宋体"/>
                <w:b/>
                <w:color w:val="000000"/>
                <w:kern w:val="0"/>
                <w:sz w:val="24"/>
                <w:lang w:bidi="ar"/>
              </w:rPr>
              <w:t>项目编码</w:t>
            </w:r>
          </w:p>
        </w:tc>
        <w:tc>
          <w:tcPr>
            <w:tcW w:w="141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b/>
                <w:color w:val="000000"/>
                <w:sz w:val="24"/>
              </w:rPr>
            </w:pPr>
            <w:r>
              <w:rPr>
                <w:rFonts w:hint="eastAsia" w:ascii="仿宋_GB2312" w:hAnsi="宋体" w:eastAsia="仿宋_GB2312" w:cs="宋体"/>
                <w:b/>
                <w:color w:val="000000"/>
                <w:kern w:val="0"/>
                <w:sz w:val="24"/>
                <w:lang w:bidi="ar"/>
              </w:rPr>
              <w:t>项目名称</w:t>
            </w:r>
          </w:p>
        </w:tc>
        <w:tc>
          <w:tcPr>
            <w:tcW w:w="316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b/>
                <w:color w:val="000000"/>
                <w:sz w:val="24"/>
              </w:rPr>
            </w:pPr>
            <w:r>
              <w:rPr>
                <w:rFonts w:hint="eastAsia" w:ascii="仿宋_GB2312" w:hAnsi="宋体" w:eastAsia="仿宋_GB2312" w:cs="宋体"/>
                <w:b/>
                <w:color w:val="000000"/>
                <w:kern w:val="0"/>
                <w:sz w:val="24"/>
                <w:lang w:bidi="ar"/>
              </w:rPr>
              <w:t>项目服务内容（内涵）</w:t>
            </w:r>
          </w:p>
        </w:tc>
        <w:tc>
          <w:tcPr>
            <w:tcW w:w="59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b/>
                <w:color w:val="000000"/>
                <w:sz w:val="24"/>
              </w:rPr>
            </w:pPr>
            <w:r>
              <w:rPr>
                <w:rFonts w:hint="eastAsia" w:ascii="仿宋_GB2312" w:hAnsi="宋体" w:eastAsia="仿宋_GB2312" w:cs="宋体"/>
                <w:b/>
                <w:color w:val="000000"/>
                <w:kern w:val="0"/>
                <w:sz w:val="24"/>
                <w:lang w:bidi="ar"/>
              </w:rPr>
              <w:t>除外内容</w:t>
            </w:r>
          </w:p>
        </w:tc>
        <w:tc>
          <w:tcPr>
            <w:tcW w:w="851"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tabs>
                <w:tab w:val="left" w:pos="420"/>
              </w:tabs>
              <w:spacing w:line="260" w:lineRule="exact"/>
              <w:jc w:val="center"/>
              <w:textAlignment w:val="center"/>
              <w:rPr>
                <w:rFonts w:hint="eastAsia" w:ascii="仿宋_GB2312" w:hAnsi="宋体" w:eastAsia="仿宋_GB2312" w:cs="宋体"/>
                <w:b/>
                <w:color w:val="000000"/>
                <w:kern w:val="0"/>
                <w:sz w:val="24"/>
                <w:lang w:bidi="ar"/>
              </w:rPr>
            </w:pPr>
            <w:r>
              <w:rPr>
                <w:rFonts w:hint="eastAsia" w:ascii="仿宋_GB2312" w:hAnsi="宋体" w:eastAsia="仿宋_GB2312" w:cs="宋体"/>
                <w:b/>
                <w:color w:val="000000"/>
                <w:kern w:val="0"/>
                <w:sz w:val="24"/>
                <w:lang w:bidi="ar"/>
              </w:rPr>
              <w:t>计价</w:t>
            </w:r>
          </w:p>
          <w:p>
            <w:pPr>
              <w:widowControl/>
              <w:spacing w:line="260" w:lineRule="exact"/>
              <w:jc w:val="center"/>
              <w:textAlignment w:val="center"/>
              <w:rPr>
                <w:rFonts w:hint="eastAsia" w:ascii="仿宋_GB2312" w:hAnsi="宋体" w:eastAsia="仿宋_GB2312" w:cs="宋体"/>
                <w:b/>
                <w:color w:val="000000"/>
                <w:sz w:val="24"/>
              </w:rPr>
            </w:pPr>
            <w:r>
              <w:rPr>
                <w:rFonts w:hint="eastAsia" w:ascii="仿宋_GB2312" w:hAnsi="宋体" w:eastAsia="仿宋_GB2312" w:cs="宋体"/>
                <w:b/>
                <w:color w:val="000000"/>
                <w:kern w:val="0"/>
                <w:sz w:val="24"/>
                <w:lang w:bidi="ar"/>
              </w:rPr>
              <w:t>单位</w:t>
            </w:r>
          </w:p>
        </w:tc>
        <w:tc>
          <w:tcPr>
            <w:tcW w:w="104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b/>
                <w:color w:val="000000"/>
                <w:sz w:val="24"/>
              </w:rPr>
            </w:pPr>
            <w:r>
              <w:rPr>
                <w:rFonts w:hint="eastAsia" w:ascii="仿宋_GB2312" w:hAnsi="宋体" w:eastAsia="仿宋_GB2312" w:cs="宋体"/>
                <w:b/>
                <w:color w:val="000000"/>
                <w:kern w:val="0"/>
                <w:sz w:val="24"/>
                <w:lang w:bidi="ar"/>
              </w:rPr>
              <w:t>收费标准（元）</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b/>
                <w:color w:val="000000"/>
                <w:sz w:val="24"/>
              </w:rPr>
            </w:pPr>
            <w:r>
              <w:rPr>
                <w:rFonts w:hint="eastAsia" w:ascii="仿宋_GB2312" w:hAnsi="宋体" w:eastAsia="仿宋_GB2312" w:cs="宋体"/>
                <w:b/>
                <w:color w:val="000000"/>
                <w:kern w:val="0"/>
                <w:sz w:val="24"/>
                <w:lang w:bidi="ar"/>
              </w:rPr>
              <w:t>备注</w:t>
            </w:r>
          </w:p>
        </w:tc>
      </w:tr>
      <w:tr>
        <w:tblPrEx>
          <w:tblCellMar>
            <w:top w:w="0" w:type="dxa"/>
            <w:left w:w="108" w:type="dxa"/>
            <w:bottom w:w="0" w:type="dxa"/>
            <w:right w:w="108" w:type="dxa"/>
          </w:tblCellMar>
        </w:tblPrEx>
        <w:trPr>
          <w:trHeight w:val="1664" w:hRule="atLeast"/>
          <w:jc w:val="center"/>
        </w:trPr>
        <w:tc>
          <w:tcPr>
            <w:tcW w:w="6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spacing w:line="260" w:lineRule="exact"/>
              <w:jc w:val="center"/>
              <w:textAlignment w:val="center"/>
              <w:rPr>
                <w:rFonts w:hint="eastAsia"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1</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left"/>
              <w:textAlignment w:val="center"/>
              <w:rPr>
                <w:rFonts w:ascii="仿宋_GB2312" w:hAnsi="宋体" w:eastAsia="仿宋_GB2312" w:cs="宋体"/>
                <w:color w:val="000000"/>
                <w:kern w:val="0"/>
                <w:sz w:val="24"/>
                <w:lang w:bidi="ar"/>
              </w:rPr>
            </w:pPr>
            <w:r>
              <w:rPr>
                <w:rFonts w:ascii="仿宋_GB2312" w:hAnsi="宋体" w:eastAsia="仿宋_GB2312" w:cs="宋体"/>
                <w:color w:val="000000"/>
                <w:kern w:val="0"/>
                <w:sz w:val="24"/>
                <w:lang w:bidi="ar"/>
              </w:rPr>
              <w:t>T006002</w:t>
            </w:r>
          </w:p>
        </w:tc>
        <w:tc>
          <w:tcPr>
            <w:tcW w:w="141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left"/>
              <w:textAlignment w:val="center"/>
              <w:rPr>
                <w:rFonts w:hint="eastAsia"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省内外院专家会诊费</w:t>
            </w:r>
          </w:p>
        </w:tc>
        <w:tc>
          <w:tcPr>
            <w:tcW w:w="316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left"/>
              <w:textAlignment w:val="center"/>
              <w:rPr>
                <w:rFonts w:hint="eastAsia" w:ascii="仿宋_GB2312" w:hAnsi="宋体" w:eastAsia="仿宋_GB2312"/>
                <w:color w:val="000000"/>
                <w:sz w:val="24"/>
              </w:rPr>
            </w:pPr>
            <w:r>
              <w:rPr>
                <w:rFonts w:hint="eastAsia" w:ascii="仿宋_GB2312" w:hAnsi="宋体" w:eastAsia="仿宋_GB2312"/>
                <w:color w:val="000000"/>
                <w:sz w:val="24"/>
              </w:rPr>
              <w:t>由需方自愿提出会诊要求，医院与需方就有关邀请人员、医疗方案和费用等事项进行协商，然后由医院出面组织邀请院外专家（省内）来本院会诊。</w:t>
            </w:r>
          </w:p>
        </w:tc>
        <w:tc>
          <w:tcPr>
            <w:tcW w:w="59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sz w:val="24"/>
              </w:rPr>
            </w:pPr>
          </w:p>
        </w:tc>
        <w:tc>
          <w:tcPr>
            <w:tcW w:w="851"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次</w:t>
            </w:r>
          </w:p>
        </w:tc>
        <w:tc>
          <w:tcPr>
            <w:tcW w:w="104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sz w:val="24"/>
              </w:rPr>
            </w:pPr>
            <w:r>
              <w:rPr>
                <w:rFonts w:hint="eastAsia" w:ascii="仿宋_GB2312" w:hAnsi="宋体" w:eastAsia="仿宋_GB2312" w:cs="宋体"/>
                <w:color w:val="000000"/>
                <w:sz w:val="24"/>
              </w:rPr>
              <w:t>不高于10000元</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spacing w:line="260" w:lineRule="exact"/>
              <w:jc w:val="center"/>
              <w:rPr>
                <w:rFonts w:hint="eastAsia" w:ascii="仿宋_GB2312" w:hAnsi="宋体" w:eastAsia="仿宋_GB2312" w:cs="宋体"/>
                <w:color w:val="000000"/>
                <w:sz w:val="24"/>
              </w:rPr>
            </w:pPr>
          </w:p>
        </w:tc>
      </w:tr>
      <w:tr>
        <w:tblPrEx>
          <w:tblCellMar>
            <w:top w:w="0" w:type="dxa"/>
            <w:left w:w="108" w:type="dxa"/>
            <w:bottom w:w="0" w:type="dxa"/>
            <w:right w:w="108" w:type="dxa"/>
          </w:tblCellMar>
        </w:tblPrEx>
        <w:trPr>
          <w:trHeight w:val="1518" w:hRule="atLeast"/>
          <w:jc w:val="center"/>
        </w:trPr>
        <w:tc>
          <w:tcPr>
            <w:tcW w:w="6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spacing w:line="260" w:lineRule="exact"/>
              <w:jc w:val="center"/>
              <w:textAlignment w:val="center"/>
              <w:rPr>
                <w:rFonts w:hint="eastAsia" w:ascii="仿宋_GB2312" w:hAnsi="宋体" w:eastAsia="仿宋_GB2312" w:cs="宋体"/>
                <w:color w:val="000000"/>
                <w:sz w:val="24"/>
              </w:rPr>
            </w:pPr>
            <w:r>
              <w:rPr>
                <w:rFonts w:hint="eastAsia" w:ascii="仿宋_GB2312" w:hAnsi="宋体" w:eastAsia="仿宋_GB2312" w:cs="宋体"/>
                <w:color w:val="000000"/>
                <w:sz w:val="24"/>
              </w:rPr>
              <w:t>2</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left"/>
              <w:textAlignment w:val="center"/>
              <w:rPr>
                <w:rFonts w:ascii="仿宋_GB2312" w:hAnsi="宋体" w:eastAsia="仿宋_GB2312" w:cs="宋体"/>
                <w:color w:val="000000"/>
                <w:sz w:val="24"/>
              </w:rPr>
            </w:pPr>
            <w:r>
              <w:rPr>
                <w:rFonts w:ascii="仿宋_GB2312" w:hAnsi="宋体" w:eastAsia="仿宋_GB2312" w:cs="宋体"/>
                <w:color w:val="000000"/>
                <w:kern w:val="0"/>
                <w:sz w:val="24"/>
                <w:lang w:bidi="ar"/>
              </w:rPr>
              <w:t>T006003</w:t>
            </w:r>
          </w:p>
        </w:tc>
        <w:tc>
          <w:tcPr>
            <w:tcW w:w="141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lang w:bidi="ar"/>
              </w:rPr>
              <w:t>省外外院专家会诊费</w:t>
            </w:r>
          </w:p>
        </w:tc>
        <w:tc>
          <w:tcPr>
            <w:tcW w:w="316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left"/>
              <w:textAlignment w:val="center"/>
              <w:rPr>
                <w:rFonts w:hint="eastAsia" w:ascii="仿宋_GB2312" w:hAnsi="宋体" w:eastAsia="仿宋_GB2312"/>
                <w:color w:val="000000"/>
                <w:sz w:val="24"/>
              </w:rPr>
            </w:pPr>
            <w:r>
              <w:rPr>
                <w:rFonts w:hint="eastAsia" w:ascii="仿宋_GB2312" w:hAnsi="宋体" w:eastAsia="仿宋_GB2312"/>
                <w:color w:val="000000"/>
                <w:sz w:val="24"/>
              </w:rPr>
              <w:t>由需方自愿提出会诊要求，医院与需方就有关邀请人员、医疗方案和费用等事项进行协商，然后由医院出面组织邀请院外专家（省外）来本院会诊。</w:t>
            </w:r>
          </w:p>
        </w:tc>
        <w:tc>
          <w:tcPr>
            <w:tcW w:w="59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sz w:val="24"/>
              </w:rPr>
            </w:pPr>
          </w:p>
        </w:tc>
        <w:tc>
          <w:tcPr>
            <w:tcW w:w="851"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次</w:t>
            </w:r>
          </w:p>
        </w:tc>
        <w:tc>
          <w:tcPr>
            <w:tcW w:w="104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sz w:val="24"/>
              </w:rPr>
            </w:pPr>
            <w:r>
              <w:rPr>
                <w:rFonts w:hint="eastAsia" w:ascii="仿宋_GB2312" w:hAnsi="宋体" w:eastAsia="仿宋_GB2312" w:cs="宋体"/>
                <w:color w:val="000000"/>
                <w:sz w:val="24"/>
              </w:rPr>
              <w:t>不高于15000元</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spacing w:line="260" w:lineRule="exact"/>
              <w:jc w:val="center"/>
              <w:rPr>
                <w:rFonts w:hint="eastAsia" w:ascii="仿宋_GB2312" w:hAnsi="宋体" w:eastAsia="仿宋_GB2312" w:cs="宋体"/>
                <w:color w:val="000000"/>
                <w:sz w:val="24"/>
              </w:rPr>
            </w:pPr>
          </w:p>
        </w:tc>
      </w:tr>
      <w:tr>
        <w:tblPrEx>
          <w:tblCellMar>
            <w:top w:w="0" w:type="dxa"/>
            <w:left w:w="108" w:type="dxa"/>
            <w:bottom w:w="0" w:type="dxa"/>
            <w:right w:w="108" w:type="dxa"/>
          </w:tblCellMar>
        </w:tblPrEx>
        <w:trPr>
          <w:trHeight w:val="1536" w:hRule="atLeast"/>
          <w:jc w:val="center"/>
        </w:trPr>
        <w:tc>
          <w:tcPr>
            <w:tcW w:w="6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spacing w:line="260" w:lineRule="exact"/>
              <w:jc w:val="center"/>
              <w:textAlignment w:val="center"/>
              <w:rPr>
                <w:rFonts w:hint="eastAsia" w:ascii="仿宋_GB2312" w:hAnsi="宋体" w:eastAsia="仿宋_GB2312" w:cs="宋体"/>
                <w:color w:val="000000"/>
                <w:sz w:val="24"/>
              </w:rPr>
            </w:pPr>
            <w:r>
              <w:rPr>
                <w:rFonts w:hint="eastAsia" w:ascii="仿宋_GB2312" w:hAnsi="宋体" w:eastAsia="仿宋_GB2312" w:cs="宋体"/>
                <w:color w:val="000000"/>
                <w:sz w:val="24"/>
              </w:rPr>
              <w:t>3</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left"/>
              <w:textAlignment w:val="center"/>
              <w:rPr>
                <w:rFonts w:ascii="仿宋_GB2312" w:hAnsi="宋体" w:eastAsia="仿宋_GB2312" w:cs="宋体"/>
                <w:color w:val="000000"/>
                <w:sz w:val="24"/>
              </w:rPr>
            </w:pPr>
            <w:r>
              <w:rPr>
                <w:rFonts w:ascii="仿宋_GB2312" w:hAnsi="宋体" w:eastAsia="仿宋_GB2312" w:cs="宋体"/>
                <w:color w:val="000000"/>
                <w:sz w:val="24"/>
              </w:rPr>
              <w:t>T0030009</w:t>
            </w:r>
          </w:p>
        </w:tc>
        <w:tc>
          <w:tcPr>
            <w:tcW w:w="141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互联网医院图文咨询服务费（特需）</w:t>
            </w:r>
          </w:p>
        </w:tc>
        <w:tc>
          <w:tcPr>
            <w:tcW w:w="316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患者可将检查报告等以图片的形式上传，并配以文字说明病情，由特需门诊坐诊医生在规定时间内利用休息时间为其提供咨询服务。</w:t>
            </w:r>
          </w:p>
        </w:tc>
        <w:tc>
          <w:tcPr>
            <w:tcW w:w="59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sz w:val="24"/>
              </w:rPr>
            </w:pPr>
          </w:p>
        </w:tc>
        <w:tc>
          <w:tcPr>
            <w:tcW w:w="851"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次</w:t>
            </w:r>
          </w:p>
        </w:tc>
        <w:tc>
          <w:tcPr>
            <w:tcW w:w="104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ascii="仿宋_GB2312" w:hAnsi="宋体" w:eastAsia="仿宋_GB2312" w:cs="宋体"/>
                <w:color w:val="000000"/>
                <w:sz w:val="24"/>
              </w:rPr>
            </w:pPr>
            <w:r>
              <w:rPr>
                <w:rFonts w:hint="eastAsia" w:ascii="仿宋_GB2312" w:hAnsi="宋体" w:eastAsia="仿宋_GB2312" w:cs="宋体"/>
                <w:color w:val="000000"/>
                <w:sz w:val="24"/>
              </w:rPr>
              <w:t>80元</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spacing w:line="260" w:lineRule="exact"/>
              <w:jc w:val="center"/>
              <w:rPr>
                <w:rFonts w:hint="eastAsia" w:ascii="仿宋_GB2312" w:hAnsi="宋体" w:eastAsia="仿宋_GB2312" w:cs="宋体"/>
                <w:color w:val="000000"/>
                <w:sz w:val="24"/>
              </w:rPr>
            </w:pPr>
          </w:p>
        </w:tc>
      </w:tr>
      <w:tr>
        <w:tblPrEx>
          <w:tblCellMar>
            <w:top w:w="0" w:type="dxa"/>
            <w:left w:w="108" w:type="dxa"/>
            <w:bottom w:w="0" w:type="dxa"/>
            <w:right w:w="108" w:type="dxa"/>
          </w:tblCellMar>
        </w:tblPrEx>
        <w:trPr>
          <w:trHeight w:val="1516" w:hRule="atLeast"/>
          <w:jc w:val="center"/>
        </w:trPr>
        <w:tc>
          <w:tcPr>
            <w:tcW w:w="6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spacing w:line="260" w:lineRule="exact"/>
              <w:jc w:val="center"/>
              <w:textAlignment w:val="center"/>
              <w:rPr>
                <w:rFonts w:hint="eastAsia" w:ascii="仿宋_GB2312" w:hAnsi="宋体" w:eastAsia="仿宋_GB2312" w:cs="宋体"/>
                <w:color w:val="000000"/>
                <w:sz w:val="24"/>
              </w:rPr>
            </w:pPr>
            <w:r>
              <w:rPr>
                <w:rFonts w:hint="eastAsia" w:ascii="仿宋_GB2312" w:hAnsi="宋体" w:eastAsia="仿宋_GB2312" w:cs="宋体"/>
                <w:color w:val="000000"/>
                <w:sz w:val="24"/>
              </w:rPr>
              <w:t>4</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left"/>
              <w:textAlignment w:val="center"/>
              <w:rPr>
                <w:rFonts w:ascii="仿宋_GB2312" w:hAnsi="宋体" w:eastAsia="仿宋_GB2312" w:cs="宋体"/>
                <w:color w:val="000000"/>
                <w:sz w:val="24"/>
              </w:rPr>
            </w:pPr>
            <w:r>
              <w:rPr>
                <w:rFonts w:ascii="仿宋_GB2312" w:hAnsi="宋体" w:eastAsia="仿宋_GB2312" w:cs="宋体"/>
                <w:color w:val="000000"/>
                <w:sz w:val="24"/>
              </w:rPr>
              <w:t>T0030010</w:t>
            </w:r>
          </w:p>
        </w:tc>
        <w:tc>
          <w:tcPr>
            <w:tcW w:w="141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互联网医院图文咨询服务费（主任医师）</w:t>
            </w:r>
          </w:p>
        </w:tc>
        <w:tc>
          <w:tcPr>
            <w:tcW w:w="316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患者可将检查报告等以图片的形式上传，并配以文字说明病情，由主任医师在规定时间内利用休息时间为其提供咨询服务。</w:t>
            </w:r>
          </w:p>
        </w:tc>
        <w:tc>
          <w:tcPr>
            <w:tcW w:w="59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sz w:val="24"/>
              </w:rPr>
            </w:pPr>
          </w:p>
        </w:tc>
        <w:tc>
          <w:tcPr>
            <w:tcW w:w="851"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次</w:t>
            </w:r>
          </w:p>
        </w:tc>
        <w:tc>
          <w:tcPr>
            <w:tcW w:w="104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sz w:val="24"/>
              </w:rPr>
            </w:pPr>
            <w:r>
              <w:rPr>
                <w:rFonts w:hint="eastAsia" w:ascii="仿宋_GB2312" w:hAnsi="宋体" w:eastAsia="仿宋_GB2312" w:cs="宋体"/>
                <w:color w:val="000000"/>
                <w:sz w:val="24"/>
              </w:rPr>
              <w:t>40元</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spacing w:line="260" w:lineRule="exact"/>
              <w:jc w:val="center"/>
              <w:rPr>
                <w:rFonts w:hint="eastAsia" w:ascii="仿宋_GB2312" w:hAnsi="宋体" w:eastAsia="仿宋_GB2312" w:cs="宋体"/>
                <w:color w:val="000000"/>
                <w:sz w:val="24"/>
              </w:rPr>
            </w:pPr>
          </w:p>
        </w:tc>
      </w:tr>
      <w:tr>
        <w:tblPrEx>
          <w:tblCellMar>
            <w:top w:w="0" w:type="dxa"/>
            <w:left w:w="108" w:type="dxa"/>
            <w:bottom w:w="0" w:type="dxa"/>
            <w:right w:w="108" w:type="dxa"/>
          </w:tblCellMar>
        </w:tblPrEx>
        <w:trPr>
          <w:trHeight w:val="1523" w:hRule="atLeast"/>
          <w:jc w:val="center"/>
        </w:trPr>
        <w:tc>
          <w:tcPr>
            <w:tcW w:w="6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spacing w:line="260" w:lineRule="exact"/>
              <w:jc w:val="center"/>
              <w:textAlignment w:val="center"/>
              <w:rPr>
                <w:rFonts w:hint="eastAsia" w:ascii="仿宋_GB2312" w:hAnsi="宋体" w:eastAsia="仿宋_GB2312" w:cs="宋体"/>
                <w:color w:val="000000"/>
                <w:sz w:val="24"/>
              </w:rPr>
            </w:pPr>
            <w:r>
              <w:rPr>
                <w:rFonts w:hint="eastAsia" w:ascii="仿宋_GB2312" w:hAnsi="宋体" w:eastAsia="仿宋_GB2312" w:cs="宋体"/>
                <w:color w:val="000000"/>
                <w:sz w:val="24"/>
              </w:rPr>
              <w:t>5</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left"/>
              <w:textAlignment w:val="center"/>
              <w:rPr>
                <w:rFonts w:ascii="仿宋_GB2312" w:hAnsi="宋体" w:eastAsia="仿宋_GB2312" w:cs="宋体"/>
                <w:color w:val="000000"/>
                <w:sz w:val="24"/>
              </w:rPr>
            </w:pPr>
            <w:r>
              <w:rPr>
                <w:rFonts w:ascii="仿宋_GB2312" w:hAnsi="宋体" w:eastAsia="仿宋_GB2312" w:cs="宋体"/>
                <w:color w:val="000000"/>
                <w:sz w:val="24"/>
              </w:rPr>
              <w:t>T0030011</w:t>
            </w:r>
          </w:p>
        </w:tc>
        <w:tc>
          <w:tcPr>
            <w:tcW w:w="141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互联网医院图文咨询服务费（副主任医师）</w:t>
            </w:r>
          </w:p>
        </w:tc>
        <w:tc>
          <w:tcPr>
            <w:tcW w:w="316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患者可将检查报告等以图片的形式上传，并配以文字说明病情，由副主任医师在规定时间内利用休息时间为其提供咨询服务。</w:t>
            </w:r>
          </w:p>
        </w:tc>
        <w:tc>
          <w:tcPr>
            <w:tcW w:w="59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sz w:val="24"/>
              </w:rPr>
            </w:pPr>
          </w:p>
        </w:tc>
        <w:tc>
          <w:tcPr>
            <w:tcW w:w="851"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次</w:t>
            </w:r>
          </w:p>
        </w:tc>
        <w:tc>
          <w:tcPr>
            <w:tcW w:w="104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ascii="仿宋_GB2312" w:hAnsi="宋体" w:eastAsia="仿宋_GB2312" w:cs="宋体"/>
                <w:color w:val="000000"/>
                <w:sz w:val="24"/>
              </w:rPr>
            </w:pPr>
            <w:r>
              <w:rPr>
                <w:rFonts w:hint="eastAsia" w:ascii="仿宋_GB2312" w:hAnsi="宋体" w:eastAsia="仿宋_GB2312" w:cs="宋体"/>
                <w:color w:val="000000"/>
                <w:sz w:val="24"/>
              </w:rPr>
              <w:t>30元</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spacing w:line="260" w:lineRule="exact"/>
              <w:jc w:val="center"/>
              <w:rPr>
                <w:rFonts w:hint="eastAsia" w:ascii="仿宋_GB2312" w:hAnsi="宋体" w:eastAsia="仿宋_GB2312" w:cs="宋体"/>
                <w:color w:val="000000"/>
                <w:sz w:val="24"/>
              </w:rPr>
            </w:pPr>
          </w:p>
        </w:tc>
      </w:tr>
      <w:tr>
        <w:tblPrEx>
          <w:tblCellMar>
            <w:top w:w="0" w:type="dxa"/>
            <w:left w:w="108" w:type="dxa"/>
            <w:bottom w:w="0" w:type="dxa"/>
            <w:right w:w="108" w:type="dxa"/>
          </w:tblCellMar>
        </w:tblPrEx>
        <w:trPr>
          <w:trHeight w:val="1516" w:hRule="atLeast"/>
          <w:jc w:val="center"/>
        </w:trPr>
        <w:tc>
          <w:tcPr>
            <w:tcW w:w="6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spacing w:line="260" w:lineRule="exact"/>
              <w:jc w:val="center"/>
              <w:textAlignment w:val="center"/>
              <w:rPr>
                <w:rFonts w:hint="eastAsia" w:ascii="仿宋_GB2312" w:hAnsi="宋体" w:eastAsia="仿宋_GB2312" w:cs="宋体"/>
                <w:color w:val="000000"/>
                <w:sz w:val="24"/>
              </w:rPr>
            </w:pPr>
            <w:r>
              <w:rPr>
                <w:rFonts w:hint="eastAsia" w:ascii="仿宋_GB2312" w:hAnsi="宋体" w:eastAsia="仿宋_GB2312" w:cs="宋体"/>
                <w:color w:val="000000"/>
                <w:sz w:val="24"/>
              </w:rPr>
              <w:t>6</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left"/>
              <w:textAlignment w:val="center"/>
              <w:rPr>
                <w:rFonts w:ascii="仿宋_GB2312" w:hAnsi="宋体" w:eastAsia="仿宋_GB2312" w:cs="宋体"/>
                <w:color w:val="000000"/>
                <w:sz w:val="24"/>
              </w:rPr>
            </w:pPr>
            <w:r>
              <w:rPr>
                <w:rFonts w:ascii="仿宋_GB2312" w:hAnsi="宋体" w:eastAsia="仿宋_GB2312" w:cs="宋体"/>
                <w:color w:val="000000"/>
                <w:sz w:val="24"/>
              </w:rPr>
              <w:t>T0030012</w:t>
            </w:r>
          </w:p>
        </w:tc>
        <w:tc>
          <w:tcPr>
            <w:tcW w:w="141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互联网医院图文咨询服务费（普通）</w:t>
            </w:r>
          </w:p>
        </w:tc>
        <w:tc>
          <w:tcPr>
            <w:tcW w:w="316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患者可将检查报告等以图片的形式上传，并配以文字说明病情，由主治及以下职称医师在规定时间内利用休息时间为其提供咨询服务。</w:t>
            </w:r>
          </w:p>
        </w:tc>
        <w:tc>
          <w:tcPr>
            <w:tcW w:w="59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sz w:val="24"/>
              </w:rPr>
            </w:pPr>
          </w:p>
        </w:tc>
        <w:tc>
          <w:tcPr>
            <w:tcW w:w="851"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次</w:t>
            </w:r>
          </w:p>
        </w:tc>
        <w:tc>
          <w:tcPr>
            <w:tcW w:w="104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ascii="仿宋_GB2312" w:hAnsi="宋体" w:eastAsia="仿宋_GB2312" w:cs="宋体"/>
                <w:color w:val="000000"/>
                <w:sz w:val="24"/>
              </w:rPr>
            </w:pPr>
            <w:r>
              <w:rPr>
                <w:rFonts w:hint="eastAsia" w:ascii="仿宋_GB2312" w:hAnsi="宋体" w:eastAsia="仿宋_GB2312" w:cs="宋体"/>
                <w:color w:val="000000"/>
                <w:sz w:val="24"/>
              </w:rPr>
              <w:t>20元</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spacing w:line="260" w:lineRule="exact"/>
              <w:jc w:val="center"/>
              <w:rPr>
                <w:rFonts w:hint="eastAsia" w:ascii="仿宋_GB2312" w:hAnsi="宋体" w:eastAsia="仿宋_GB2312" w:cs="宋体"/>
                <w:color w:val="000000"/>
                <w:sz w:val="24"/>
              </w:rPr>
            </w:pPr>
          </w:p>
        </w:tc>
      </w:tr>
      <w:tr>
        <w:tblPrEx>
          <w:tblCellMar>
            <w:top w:w="0" w:type="dxa"/>
            <w:left w:w="108" w:type="dxa"/>
            <w:bottom w:w="0" w:type="dxa"/>
            <w:right w:w="108" w:type="dxa"/>
          </w:tblCellMar>
        </w:tblPrEx>
        <w:trPr>
          <w:trHeight w:val="1450" w:hRule="atLeast"/>
          <w:jc w:val="center"/>
        </w:trPr>
        <w:tc>
          <w:tcPr>
            <w:tcW w:w="6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spacing w:line="260" w:lineRule="exact"/>
              <w:jc w:val="center"/>
              <w:textAlignment w:val="center"/>
              <w:rPr>
                <w:rFonts w:ascii="仿宋_GB2312" w:hAnsi="宋体" w:eastAsia="仿宋_GB2312" w:cs="宋体"/>
                <w:color w:val="000000"/>
                <w:sz w:val="24"/>
              </w:rPr>
            </w:pPr>
            <w:r>
              <w:rPr>
                <w:rFonts w:hint="eastAsia" w:ascii="仿宋_GB2312" w:hAnsi="宋体" w:eastAsia="仿宋_GB2312" w:cs="宋体"/>
                <w:color w:val="000000"/>
                <w:sz w:val="24"/>
              </w:rPr>
              <w:t>7</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left"/>
              <w:textAlignment w:val="center"/>
              <w:rPr>
                <w:rFonts w:ascii="仿宋_GB2312" w:hAnsi="宋体" w:eastAsia="仿宋_GB2312" w:cs="宋体"/>
                <w:color w:val="000000"/>
                <w:sz w:val="24"/>
              </w:rPr>
            </w:pPr>
            <w:r>
              <w:rPr>
                <w:rFonts w:ascii="仿宋_GB2312" w:hAnsi="宋体" w:eastAsia="仿宋_GB2312" w:cs="宋体"/>
                <w:color w:val="000000"/>
                <w:sz w:val="24"/>
              </w:rPr>
              <w:t>T004008</w:t>
            </w:r>
          </w:p>
        </w:tc>
        <w:tc>
          <w:tcPr>
            <w:tcW w:w="141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人体成分测定（特需体检）</w:t>
            </w:r>
          </w:p>
        </w:tc>
        <w:tc>
          <w:tcPr>
            <w:tcW w:w="316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通过电阻抗直接分析受试者的身体成分，全身及身体节段肌肉脂肪分析，提供营养、肥胖、身体均衡评估。</w:t>
            </w:r>
          </w:p>
        </w:tc>
        <w:tc>
          <w:tcPr>
            <w:tcW w:w="59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sz w:val="24"/>
              </w:rPr>
            </w:pPr>
          </w:p>
        </w:tc>
        <w:tc>
          <w:tcPr>
            <w:tcW w:w="851"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次</w:t>
            </w:r>
          </w:p>
        </w:tc>
        <w:tc>
          <w:tcPr>
            <w:tcW w:w="104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sz w:val="24"/>
              </w:rPr>
            </w:pPr>
            <w:r>
              <w:rPr>
                <w:rFonts w:hint="eastAsia" w:ascii="仿宋_GB2312" w:hAnsi="宋体" w:eastAsia="仿宋_GB2312" w:cs="宋体"/>
                <w:color w:val="000000"/>
                <w:sz w:val="24"/>
              </w:rPr>
              <w:t>65元</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spacing w:line="260" w:lineRule="exact"/>
              <w:jc w:val="center"/>
              <w:rPr>
                <w:rFonts w:hint="eastAsia" w:ascii="仿宋_GB2312" w:hAnsi="宋体" w:eastAsia="仿宋_GB2312" w:cs="宋体"/>
                <w:color w:val="000000"/>
                <w:sz w:val="24"/>
              </w:rPr>
            </w:pPr>
            <w:r>
              <w:rPr>
                <w:rFonts w:hint="eastAsia" w:ascii="仿宋_GB2312" w:hAnsi="宋体" w:eastAsia="仿宋_GB2312" w:cs="宋体"/>
                <w:color w:val="000000"/>
                <w:sz w:val="24"/>
              </w:rPr>
              <w:t>特需</w:t>
            </w:r>
          </w:p>
          <w:p>
            <w:pPr>
              <w:spacing w:line="260" w:lineRule="exact"/>
              <w:jc w:val="center"/>
              <w:rPr>
                <w:rFonts w:hint="eastAsia" w:ascii="仿宋_GB2312" w:hAnsi="宋体" w:eastAsia="仿宋_GB2312" w:cs="宋体"/>
                <w:color w:val="000000"/>
                <w:sz w:val="24"/>
              </w:rPr>
            </w:pPr>
            <w:r>
              <w:rPr>
                <w:rFonts w:hint="eastAsia" w:ascii="仿宋_GB2312" w:hAnsi="宋体" w:eastAsia="仿宋_GB2312" w:cs="宋体"/>
                <w:color w:val="000000"/>
                <w:sz w:val="24"/>
              </w:rPr>
              <w:t>体检</w:t>
            </w:r>
          </w:p>
        </w:tc>
      </w:tr>
      <w:tr>
        <w:tblPrEx>
          <w:tblCellMar>
            <w:top w:w="0" w:type="dxa"/>
            <w:left w:w="108" w:type="dxa"/>
            <w:bottom w:w="0" w:type="dxa"/>
            <w:right w:w="108" w:type="dxa"/>
          </w:tblCellMar>
        </w:tblPrEx>
        <w:trPr>
          <w:trHeight w:val="1804" w:hRule="atLeast"/>
          <w:jc w:val="center"/>
        </w:trPr>
        <w:tc>
          <w:tcPr>
            <w:tcW w:w="6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spacing w:line="260" w:lineRule="exact"/>
              <w:jc w:val="center"/>
              <w:textAlignment w:val="center"/>
              <w:rPr>
                <w:rFonts w:hint="eastAsia" w:ascii="仿宋_GB2312" w:hAnsi="宋体" w:eastAsia="仿宋_GB2312" w:cs="宋体"/>
                <w:color w:val="000000"/>
                <w:sz w:val="24"/>
              </w:rPr>
            </w:pPr>
            <w:r>
              <w:rPr>
                <w:rFonts w:hint="eastAsia" w:ascii="仿宋_GB2312" w:hAnsi="宋体" w:eastAsia="仿宋_GB2312" w:cs="宋体"/>
                <w:color w:val="000000"/>
                <w:sz w:val="24"/>
              </w:rPr>
              <w:t>8</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left"/>
              <w:textAlignment w:val="center"/>
              <w:rPr>
                <w:rFonts w:ascii="仿宋_GB2312" w:hAnsi="宋体" w:eastAsia="仿宋_GB2312" w:cs="宋体"/>
                <w:color w:val="000000"/>
                <w:sz w:val="24"/>
              </w:rPr>
            </w:pPr>
            <w:r>
              <w:rPr>
                <w:rFonts w:ascii="仿宋_GB2312" w:hAnsi="宋体" w:eastAsia="仿宋_GB2312" w:cs="宋体"/>
                <w:color w:val="000000"/>
                <w:sz w:val="24"/>
              </w:rPr>
              <w:t>T004009</w:t>
            </w:r>
          </w:p>
        </w:tc>
        <w:tc>
          <w:tcPr>
            <w:tcW w:w="141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个案全程标准化体重管理</w:t>
            </w:r>
          </w:p>
          <w:p>
            <w:pPr>
              <w:widowControl/>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（特需体检套餐A）</w:t>
            </w:r>
          </w:p>
        </w:tc>
        <w:tc>
          <w:tcPr>
            <w:tcW w:w="316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1.1次资深营养师提供1对1管理服务，主动提供日常指导，持续互动、提醒、追踪（不限于APP、电话、微信等），干预过渡方案制定，体重维持方案制定。</w:t>
            </w:r>
          </w:p>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2.1次专业慢病管理营养师1对1人体成分检测报告解析。</w:t>
            </w:r>
          </w:p>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3.全程健康宣教。</w:t>
            </w:r>
          </w:p>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4.1次线下复诊预约。</w:t>
            </w:r>
          </w:p>
          <w:p>
            <w:pPr>
              <w:widowControl/>
              <w:tabs>
                <w:tab w:val="left" w:pos="405"/>
              </w:tabs>
              <w:spacing w:line="260" w:lineRule="exact"/>
              <w:jc w:val="left"/>
              <w:textAlignment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5.全</w:t>
            </w:r>
            <w:r>
              <w:rPr>
                <w:rFonts w:hint="eastAsia" w:ascii="仿宋_GB2312" w:hAnsi="宋体" w:eastAsia="仿宋_GB2312" w:cs="宋体"/>
                <w:color w:val="000000"/>
                <w:spacing w:val="-8"/>
                <w:kern w:val="0"/>
                <w:sz w:val="24"/>
              </w:rPr>
              <w:t>程提供专属的管理工具体重管家APP，动态跟踪用户数据。</w:t>
            </w:r>
          </w:p>
        </w:tc>
        <w:tc>
          <w:tcPr>
            <w:tcW w:w="59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sz w:val="24"/>
              </w:rPr>
            </w:pPr>
          </w:p>
        </w:tc>
        <w:tc>
          <w:tcPr>
            <w:tcW w:w="851"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周期（28天）</w:t>
            </w:r>
          </w:p>
        </w:tc>
        <w:tc>
          <w:tcPr>
            <w:tcW w:w="104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sz w:val="24"/>
              </w:rPr>
            </w:pPr>
            <w:r>
              <w:rPr>
                <w:rFonts w:hint="eastAsia" w:ascii="仿宋_GB2312" w:hAnsi="宋体" w:eastAsia="仿宋_GB2312" w:cs="宋体"/>
                <w:color w:val="000000"/>
                <w:sz w:val="24"/>
              </w:rPr>
              <w:t>580元</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spacing w:line="260" w:lineRule="exact"/>
              <w:jc w:val="center"/>
              <w:rPr>
                <w:rFonts w:hint="eastAsia" w:ascii="仿宋_GB2312" w:hAnsi="宋体" w:eastAsia="仿宋_GB2312" w:cs="宋体"/>
                <w:color w:val="000000"/>
                <w:sz w:val="24"/>
              </w:rPr>
            </w:pPr>
            <w:r>
              <w:rPr>
                <w:rFonts w:hint="eastAsia" w:ascii="仿宋_GB2312" w:hAnsi="宋体" w:eastAsia="仿宋_GB2312" w:cs="宋体"/>
                <w:color w:val="000000"/>
                <w:sz w:val="24"/>
              </w:rPr>
              <w:t>特需</w:t>
            </w:r>
          </w:p>
          <w:p>
            <w:pPr>
              <w:spacing w:line="260" w:lineRule="exact"/>
              <w:jc w:val="center"/>
              <w:rPr>
                <w:rFonts w:hint="eastAsia" w:ascii="仿宋_GB2312" w:hAnsi="宋体" w:eastAsia="仿宋_GB2312" w:cs="宋体"/>
                <w:color w:val="000000"/>
                <w:sz w:val="24"/>
              </w:rPr>
            </w:pPr>
            <w:r>
              <w:rPr>
                <w:rFonts w:hint="eastAsia" w:ascii="仿宋_GB2312" w:hAnsi="宋体" w:eastAsia="仿宋_GB2312" w:cs="宋体"/>
                <w:color w:val="000000"/>
                <w:sz w:val="24"/>
              </w:rPr>
              <w:t>体检</w:t>
            </w:r>
          </w:p>
          <w:p>
            <w:pPr>
              <w:spacing w:line="260" w:lineRule="exact"/>
              <w:jc w:val="center"/>
              <w:rPr>
                <w:rFonts w:ascii="仿宋_GB2312" w:hAnsi="宋体" w:eastAsia="仿宋_GB2312" w:cs="宋体"/>
                <w:color w:val="000000"/>
                <w:sz w:val="24"/>
              </w:rPr>
            </w:pPr>
            <w:r>
              <w:rPr>
                <w:rFonts w:hint="eastAsia" w:ascii="仿宋_GB2312" w:hAnsi="宋体" w:eastAsia="仿宋_GB2312" w:cs="宋体"/>
                <w:color w:val="000000"/>
                <w:sz w:val="24"/>
              </w:rPr>
              <w:t>套餐</w:t>
            </w:r>
          </w:p>
        </w:tc>
      </w:tr>
      <w:tr>
        <w:tblPrEx>
          <w:tblCellMar>
            <w:top w:w="0" w:type="dxa"/>
            <w:left w:w="108" w:type="dxa"/>
            <w:bottom w:w="0" w:type="dxa"/>
            <w:right w:w="108" w:type="dxa"/>
          </w:tblCellMar>
        </w:tblPrEx>
        <w:trPr>
          <w:trHeight w:val="1408" w:hRule="atLeast"/>
          <w:jc w:val="center"/>
        </w:trPr>
        <w:tc>
          <w:tcPr>
            <w:tcW w:w="6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spacing w:line="260" w:lineRule="exact"/>
              <w:jc w:val="center"/>
              <w:textAlignment w:val="center"/>
              <w:rPr>
                <w:rFonts w:hint="eastAsia" w:ascii="仿宋_GB2312" w:hAnsi="宋体" w:eastAsia="仿宋_GB2312" w:cs="宋体"/>
                <w:color w:val="000000"/>
                <w:sz w:val="24"/>
              </w:rPr>
            </w:pPr>
            <w:r>
              <w:rPr>
                <w:rFonts w:hint="eastAsia" w:ascii="仿宋_GB2312" w:hAnsi="宋体" w:eastAsia="仿宋_GB2312" w:cs="宋体"/>
                <w:color w:val="000000"/>
                <w:sz w:val="24"/>
              </w:rPr>
              <w:t>9</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left"/>
              <w:textAlignment w:val="center"/>
              <w:rPr>
                <w:rFonts w:hint="default" w:ascii="仿宋_GB2312" w:hAnsi="宋体" w:eastAsia="仿宋_GB2312" w:cs="宋体"/>
                <w:color w:val="000000"/>
                <w:sz w:val="24"/>
                <w:lang w:val="en-US" w:eastAsia="zh-CN"/>
              </w:rPr>
            </w:pPr>
            <w:r>
              <w:rPr>
                <w:rFonts w:ascii="仿宋_GB2312" w:hAnsi="宋体" w:eastAsia="仿宋_GB2312" w:cs="宋体"/>
                <w:color w:val="000000"/>
                <w:sz w:val="24"/>
              </w:rPr>
              <w:t>T0040</w:t>
            </w:r>
            <w:r>
              <w:rPr>
                <w:rFonts w:hint="eastAsia" w:ascii="仿宋_GB2312" w:hAnsi="宋体" w:eastAsia="仿宋_GB2312" w:cs="宋体"/>
                <w:color w:val="000000"/>
                <w:sz w:val="24"/>
                <w:lang w:val="en-US" w:eastAsia="zh-CN"/>
              </w:rPr>
              <w:t>12</w:t>
            </w:r>
            <w:bookmarkStart w:id="1" w:name="_GoBack"/>
            <w:bookmarkEnd w:id="1"/>
          </w:p>
        </w:tc>
        <w:tc>
          <w:tcPr>
            <w:tcW w:w="141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个案全程精细化体重管理</w:t>
            </w:r>
          </w:p>
          <w:p>
            <w:pPr>
              <w:widowControl/>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（特需体检套餐B）</w:t>
            </w:r>
          </w:p>
        </w:tc>
        <w:tc>
          <w:tcPr>
            <w:tcW w:w="316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1.1次肥胖相关因素评估：生活方式评估、营养膳食评估、肥胖原因分析、干预障碍分析。</w:t>
            </w:r>
          </w:p>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2.2次资深营养师提供1对1管理服务，主动提供日常指导，持续互动、提醒、追踪（不限于APP、电话、微信等），干预过渡方案制定，体重维持方案制定。</w:t>
            </w:r>
          </w:p>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3.1次专业慢病管理营养师1对1人体成分检测报告解析。</w:t>
            </w:r>
          </w:p>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4.全程健康宣教。</w:t>
            </w:r>
          </w:p>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5.1次线下复诊预约。</w:t>
            </w:r>
          </w:p>
          <w:p>
            <w:pPr>
              <w:widowControl/>
              <w:tabs>
                <w:tab w:val="left" w:pos="405"/>
              </w:tabs>
              <w:spacing w:line="260" w:lineRule="exact"/>
              <w:jc w:val="left"/>
              <w:textAlignment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6.全程</w:t>
            </w:r>
            <w:r>
              <w:rPr>
                <w:rFonts w:hint="eastAsia" w:ascii="仿宋_GB2312" w:hAnsi="宋体" w:eastAsia="仿宋_GB2312" w:cs="宋体"/>
                <w:color w:val="000000"/>
                <w:spacing w:val="-8"/>
                <w:kern w:val="0"/>
                <w:sz w:val="24"/>
              </w:rPr>
              <w:t>提供专属的管理工具体重管家APP，动态跟踪用户数据。</w:t>
            </w:r>
          </w:p>
        </w:tc>
        <w:tc>
          <w:tcPr>
            <w:tcW w:w="59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sz w:val="24"/>
              </w:rPr>
            </w:pPr>
          </w:p>
        </w:tc>
        <w:tc>
          <w:tcPr>
            <w:tcW w:w="851"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周期（28天）</w:t>
            </w:r>
          </w:p>
        </w:tc>
        <w:tc>
          <w:tcPr>
            <w:tcW w:w="104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sz w:val="24"/>
              </w:rPr>
            </w:pPr>
            <w:r>
              <w:rPr>
                <w:rFonts w:hint="eastAsia" w:ascii="仿宋_GB2312" w:hAnsi="宋体" w:eastAsia="仿宋_GB2312" w:cs="宋体"/>
                <w:color w:val="000000"/>
                <w:sz w:val="24"/>
              </w:rPr>
              <w:t>1080元</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spacing w:line="260" w:lineRule="exact"/>
              <w:jc w:val="center"/>
              <w:rPr>
                <w:rFonts w:hint="eastAsia" w:ascii="仿宋_GB2312" w:hAnsi="宋体" w:eastAsia="仿宋_GB2312" w:cs="宋体"/>
                <w:color w:val="000000"/>
                <w:sz w:val="24"/>
              </w:rPr>
            </w:pPr>
            <w:r>
              <w:rPr>
                <w:rFonts w:hint="eastAsia" w:ascii="仿宋_GB2312" w:hAnsi="宋体" w:eastAsia="仿宋_GB2312" w:cs="宋体"/>
                <w:color w:val="000000"/>
                <w:sz w:val="24"/>
              </w:rPr>
              <w:t>特需</w:t>
            </w:r>
          </w:p>
          <w:p>
            <w:pPr>
              <w:spacing w:line="260" w:lineRule="exact"/>
              <w:jc w:val="center"/>
              <w:rPr>
                <w:rFonts w:hint="eastAsia" w:ascii="仿宋_GB2312" w:hAnsi="宋体" w:eastAsia="仿宋_GB2312" w:cs="宋体"/>
                <w:color w:val="000000"/>
                <w:sz w:val="24"/>
              </w:rPr>
            </w:pPr>
            <w:r>
              <w:rPr>
                <w:rFonts w:hint="eastAsia" w:ascii="仿宋_GB2312" w:hAnsi="宋体" w:eastAsia="仿宋_GB2312" w:cs="宋体"/>
                <w:color w:val="000000"/>
                <w:sz w:val="24"/>
              </w:rPr>
              <w:t>体检</w:t>
            </w:r>
          </w:p>
          <w:p>
            <w:pPr>
              <w:spacing w:line="260" w:lineRule="exact"/>
              <w:jc w:val="center"/>
              <w:rPr>
                <w:rFonts w:hint="eastAsia" w:ascii="仿宋_GB2312" w:hAnsi="宋体" w:eastAsia="仿宋_GB2312" w:cs="宋体"/>
                <w:color w:val="000000"/>
                <w:sz w:val="24"/>
              </w:rPr>
            </w:pPr>
            <w:r>
              <w:rPr>
                <w:rFonts w:hint="eastAsia" w:ascii="仿宋_GB2312" w:hAnsi="宋体" w:eastAsia="仿宋_GB2312" w:cs="宋体"/>
                <w:color w:val="000000"/>
                <w:sz w:val="24"/>
              </w:rPr>
              <w:t>套餐</w:t>
            </w:r>
          </w:p>
        </w:tc>
      </w:tr>
      <w:tr>
        <w:tblPrEx>
          <w:tblCellMar>
            <w:top w:w="0" w:type="dxa"/>
            <w:left w:w="108" w:type="dxa"/>
            <w:bottom w:w="0" w:type="dxa"/>
            <w:right w:w="108" w:type="dxa"/>
          </w:tblCellMar>
        </w:tblPrEx>
        <w:trPr>
          <w:trHeight w:val="1804" w:hRule="atLeast"/>
          <w:jc w:val="center"/>
        </w:trPr>
        <w:tc>
          <w:tcPr>
            <w:tcW w:w="6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spacing w:line="260" w:lineRule="exact"/>
              <w:jc w:val="center"/>
              <w:textAlignment w:val="center"/>
              <w:rPr>
                <w:rFonts w:ascii="仿宋_GB2312" w:hAnsi="宋体" w:eastAsia="仿宋_GB2312" w:cs="宋体"/>
                <w:color w:val="000000"/>
                <w:sz w:val="24"/>
              </w:rPr>
            </w:pPr>
            <w:r>
              <w:rPr>
                <w:rFonts w:hint="eastAsia" w:ascii="仿宋_GB2312" w:hAnsi="宋体" w:eastAsia="仿宋_GB2312" w:cs="宋体"/>
                <w:color w:val="000000"/>
                <w:sz w:val="24"/>
              </w:rPr>
              <w:t>10</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left"/>
              <w:textAlignment w:val="center"/>
              <w:rPr>
                <w:rFonts w:ascii="仿宋_GB2312" w:hAnsi="宋体" w:eastAsia="仿宋_GB2312" w:cs="宋体"/>
                <w:color w:val="000000"/>
                <w:sz w:val="24"/>
              </w:rPr>
            </w:pPr>
            <w:r>
              <w:rPr>
                <w:rFonts w:ascii="仿宋_GB2312" w:hAnsi="宋体" w:eastAsia="仿宋_GB2312" w:cs="宋体"/>
                <w:color w:val="000000"/>
                <w:sz w:val="24"/>
              </w:rPr>
              <w:t>T004010</w:t>
            </w:r>
          </w:p>
        </w:tc>
        <w:tc>
          <w:tcPr>
            <w:tcW w:w="141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个案全程强干预体重管理</w:t>
            </w:r>
          </w:p>
          <w:p>
            <w:pPr>
              <w:widowControl/>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（特需体检套餐C）</w:t>
            </w:r>
          </w:p>
        </w:tc>
        <w:tc>
          <w:tcPr>
            <w:tcW w:w="316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tabs>
                <w:tab w:val="left" w:pos="405"/>
              </w:tabs>
              <w:spacing w:line="260" w:lineRule="exact"/>
              <w:jc w:val="left"/>
              <w:textAlignment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1.1次为用户建立个人建立健康档案并维护更新。</w:t>
            </w:r>
          </w:p>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2.1次肥胖相关因素评估：生活方式评估、营养膳食评估、肥胖原因分析、干预障碍分析。</w:t>
            </w:r>
          </w:p>
          <w:p>
            <w:pPr>
              <w:widowControl/>
              <w:tabs>
                <w:tab w:val="left" w:pos="405"/>
              </w:tabs>
              <w:spacing w:line="260" w:lineRule="exact"/>
              <w:jc w:val="left"/>
              <w:textAlignment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3.1次根据患者基本情况及肥胖分析，制定个性化干预执行方案。</w:t>
            </w:r>
          </w:p>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4.4次资深营养师提供1对1管理服务，主动提供日常指导，持续互动、提醒、追踪（不限于APP、电话、微信等），干预过渡方案制定，体重维持方案制定。</w:t>
            </w:r>
          </w:p>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5.1次专业慢病管理营养师1对1人体成分检测报告解析。</w:t>
            </w:r>
          </w:p>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6.全程健康宣教。</w:t>
            </w:r>
          </w:p>
          <w:p>
            <w:pPr>
              <w:widowControl/>
              <w:tabs>
                <w:tab w:val="left" w:pos="405"/>
              </w:tabs>
              <w:spacing w:line="260" w:lineRule="exact"/>
              <w:jc w:val="left"/>
              <w:textAlignment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7.1次结合患者的实际生活环境及评估结果给与合适的运动建议（握力测试、台阶测试）。</w:t>
            </w:r>
          </w:p>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8.1次线下复诊预约。</w:t>
            </w:r>
          </w:p>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9.全程提供专属的管理工具体重管家APP，动态跟踪用户数据。</w:t>
            </w:r>
          </w:p>
        </w:tc>
        <w:tc>
          <w:tcPr>
            <w:tcW w:w="59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sz w:val="24"/>
              </w:rPr>
            </w:pPr>
          </w:p>
        </w:tc>
        <w:tc>
          <w:tcPr>
            <w:tcW w:w="851"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周期（28天）</w:t>
            </w:r>
          </w:p>
        </w:tc>
        <w:tc>
          <w:tcPr>
            <w:tcW w:w="104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sz w:val="24"/>
              </w:rPr>
            </w:pPr>
            <w:r>
              <w:rPr>
                <w:rFonts w:hint="eastAsia" w:ascii="仿宋_GB2312" w:eastAsia="仿宋_GB2312"/>
                <w:sz w:val="24"/>
              </w:rPr>
              <w:t>1380元</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spacing w:line="260" w:lineRule="exact"/>
              <w:jc w:val="center"/>
              <w:rPr>
                <w:rFonts w:hint="eastAsia" w:ascii="仿宋_GB2312" w:hAnsi="宋体" w:eastAsia="仿宋_GB2312" w:cs="宋体"/>
                <w:color w:val="000000"/>
                <w:sz w:val="24"/>
              </w:rPr>
            </w:pPr>
            <w:r>
              <w:rPr>
                <w:rFonts w:hint="eastAsia" w:ascii="仿宋_GB2312" w:hAnsi="宋体" w:eastAsia="仿宋_GB2312" w:cs="宋体"/>
                <w:color w:val="000000"/>
                <w:sz w:val="24"/>
              </w:rPr>
              <w:t>特需</w:t>
            </w:r>
          </w:p>
          <w:p>
            <w:pPr>
              <w:spacing w:line="260" w:lineRule="exact"/>
              <w:jc w:val="center"/>
              <w:rPr>
                <w:rFonts w:hint="eastAsia" w:ascii="仿宋_GB2312" w:hAnsi="宋体" w:eastAsia="仿宋_GB2312" w:cs="宋体"/>
                <w:color w:val="000000"/>
                <w:sz w:val="24"/>
              </w:rPr>
            </w:pPr>
            <w:r>
              <w:rPr>
                <w:rFonts w:hint="eastAsia" w:ascii="仿宋_GB2312" w:hAnsi="宋体" w:eastAsia="仿宋_GB2312" w:cs="宋体"/>
                <w:color w:val="000000"/>
                <w:sz w:val="24"/>
              </w:rPr>
              <w:t>体检</w:t>
            </w:r>
          </w:p>
          <w:p>
            <w:pPr>
              <w:spacing w:line="260" w:lineRule="exact"/>
              <w:jc w:val="center"/>
              <w:rPr>
                <w:rFonts w:hint="eastAsia" w:ascii="仿宋_GB2312" w:hAnsi="宋体" w:eastAsia="仿宋_GB2312" w:cs="宋体"/>
                <w:color w:val="000000"/>
                <w:sz w:val="24"/>
              </w:rPr>
            </w:pPr>
            <w:r>
              <w:rPr>
                <w:rFonts w:hint="eastAsia" w:ascii="仿宋_GB2312" w:hAnsi="宋体" w:eastAsia="仿宋_GB2312" w:cs="宋体"/>
                <w:color w:val="000000"/>
                <w:sz w:val="24"/>
              </w:rPr>
              <w:t>套餐</w:t>
            </w:r>
          </w:p>
        </w:tc>
      </w:tr>
      <w:tr>
        <w:tblPrEx>
          <w:tblCellMar>
            <w:top w:w="0" w:type="dxa"/>
            <w:left w:w="108" w:type="dxa"/>
            <w:bottom w:w="0" w:type="dxa"/>
            <w:right w:w="108" w:type="dxa"/>
          </w:tblCellMar>
        </w:tblPrEx>
        <w:trPr>
          <w:trHeight w:val="1804" w:hRule="atLeast"/>
          <w:jc w:val="center"/>
        </w:trPr>
        <w:tc>
          <w:tcPr>
            <w:tcW w:w="6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spacing w:line="260" w:lineRule="exact"/>
              <w:jc w:val="center"/>
              <w:textAlignment w:val="center"/>
              <w:rPr>
                <w:rFonts w:ascii="仿宋_GB2312" w:hAnsi="宋体" w:eastAsia="仿宋_GB2312" w:cs="宋体"/>
                <w:color w:val="000000"/>
                <w:sz w:val="24"/>
              </w:rPr>
            </w:pPr>
            <w:r>
              <w:rPr>
                <w:rFonts w:hint="eastAsia" w:ascii="仿宋_GB2312" w:hAnsi="宋体" w:eastAsia="仿宋_GB2312" w:cs="宋体"/>
                <w:color w:val="000000"/>
                <w:sz w:val="24"/>
              </w:rPr>
              <w:t>11</w:t>
            </w:r>
          </w:p>
        </w:tc>
        <w:tc>
          <w:tcPr>
            <w:tcW w:w="112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left"/>
              <w:textAlignment w:val="center"/>
              <w:rPr>
                <w:rFonts w:ascii="仿宋_GB2312" w:hAnsi="宋体" w:eastAsia="仿宋_GB2312" w:cs="宋体"/>
                <w:color w:val="000000"/>
                <w:sz w:val="24"/>
              </w:rPr>
            </w:pPr>
            <w:r>
              <w:rPr>
                <w:rFonts w:ascii="仿宋_GB2312" w:hAnsi="宋体" w:eastAsia="仿宋_GB2312" w:cs="宋体"/>
                <w:color w:val="000000"/>
                <w:sz w:val="24"/>
              </w:rPr>
              <w:t>T004011</w:t>
            </w:r>
          </w:p>
        </w:tc>
        <w:tc>
          <w:tcPr>
            <w:tcW w:w="1418"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专病治疗性生活方式数字化干预体重管理</w:t>
            </w:r>
          </w:p>
          <w:p>
            <w:pPr>
              <w:widowControl/>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（特需体检套餐D）</w:t>
            </w:r>
          </w:p>
        </w:tc>
        <w:tc>
          <w:tcPr>
            <w:tcW w:w="316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tabs>
                <w:tab w:val="left" w:pos="405"/>
              </w:tabs>
              <w:spacing w:line="260" w:lineRule="exact"/>
              <w:jc w:val="left"/>
              <w:textAlignment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1.1次为用户建立个人建立健康档案并维护更新。</w:t>
            </w:r>
          </w:p>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2.1次肥胖相关因素评估：生活方式评估、营养膳食评估、肥胖原因分析、干预障碍分析。</w:t>
            </w:r>
          </w:p>
          <w:p>
            <w:pPr>
              <w:widowControl/>
              <w:tabs>
                <w:tab w:val="left" w:pos="405"/>
              </w:tabs>
              <w:spacing w:line="260" w:lineRule="exact"/>
              <w:jc w:val="left"/>
              <w:textAlignment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3.1次根据患者基本情况及肥胖分析，制定个性化干预执行方案。</w:t>
            </w:r>
          </w:p>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4.全程资深营养师提供1对1管理服务，主动提供日常指导，持续互动、提醒、追踪（不限于APP、电话、微信等），干预过渡方案制定，体重维持方案制定。</w:t>
            </w:r>
          </w:p>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5.1次专业慢病管理营养师1对1人体成分检测报告解析。</w:t>
            </w:r>
          </w:p>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6.全程健康宣教。</w:t>
            </w:r>
          </w:p>
          <w:p>
            <w:pPr>
              <w:widowControl/>
              <w:tabs>
                <w:tab w:val="left" w:pos="405"/>
              </w:tabs>
              <w:spacing w:line="260" w:lineRule="exact"/>
              <w:jc w:val="left"/>
              <w:textAlignment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7.对患者全程提醒要求相关生化指标的收集和跟踪。</w:t>
            </w:r>
          </w:p>
          <w:p>
            <w:pPr>
              <w:widowControl/>
              <w:tabs>
                <w:tab w:val="left" w:pos="405"/>
              </w:tabs>
              <w:spacing w:line="260" w:lineRule="exact"/>
              <w:jc w:val="left"/>
              <w:textAlignment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8.2次结合患者的实际生活环境及评估结果给与合适的运动建议（握力测试、台阶测试）。</w:t>
            </w:r>
          </w:p>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9.1次线下复诊预约。</w:t>
            </w:r>
          </w:p>
          <w:p>
            <w:pPr>
              <w:widowControl/>
              <w:tabs>
                <w:tab w:val="left" w:pos="405"/>
              </w:tabs>
              <w:spacing w:line="260" w:lineRule="exact"/>
              <w:jc w:val="left"/>
              <w:textAlignment w:val="center"/>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10.全程提供专属的管理工具体重管家APP，动态跟踪用户数据。</w:t>
            </w:r>
          </w:p>
          <w:p>
            <w:pPr>
              <w:widowControl/>
              <w:tabs>
                <w:tab w:val="left" w:pos="405"/>
              </w:tabs>
              <w:spacing w:line="260" w:lineRule="exact"/>
              <w:jc w:val="left"/>
              <w:textAlignment w:val="center"/>
              <w:rPr>
                <w:rFonts w:ascii="仿宋_GB2312" w:hAnsi="宋体" w:eastAsia="仿宋_GB2312" w:cs="宋体"/>
                <w:color w:val="000000"/>
                <w:kern w:val="0"/>
                <w:sz w:val="24"/>
              </w:rPr>
            </w:pPr>
            <w:r>
              <w:rPr>
                <w:rFonts w:hint="eastAsia" w:ascii="仿宋_GB2312" w:hAnsi="宋体" w:eastAsia="仿宋_GB2312" w:cs="宋体"/>
                <w:color w:val="000000"/>
                <w:kern w:val="0"/>
                <w:sz w:val="24"/>
              </w:rPr>
              <w:t>11.1个wifi蓝牙双模式体脂秤。</w:t>
            </w:r>
          </w:p>
        </w:tc>
        <w:tc>
          <w:tcPr>
            <w:tcW w:w="59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sz w:val="24"/>
              </w:rPr>
            </w:pPr>
          </w:p>
        </w:tc>
        <w:tc>
          <w:tcPr>
            <w:tcW w:w="851"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周期（28天）</w:t>
            </w:r>
          </w:p>
        </w:tc>
        <w:tc>
          <w:tcPr>
            <w:tcW w:w="1042"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widowControl/>
              <w:spacing w:line="260" w:lineRule="exact"/>
              <w:jc w:val="center"/>
              <w:textAlignment w:val="center"/>
              <w:rPr>
                <w:rFonts w:hint="eastAsia" w:ascii="仿宋_GB2312" w:eastAsia="仿宋_GB2312"/>
                <w:sz w:val="24"/>
              </w:rPr>
            </w:pPr>
            <w:r>
              <w:rPr>
                <w:rFonts w:hint="eastAsia" w:ascii="仿宋_GB2312" w:eastAsia="仿宋_GB2312"/>
                <w:sz w:val="24"/>
              </w:rPr>
              <w:t>2980元</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15" w:type="dxa"/>
              <w:right w:w="15" w:type="dxa"/>
            </w:tcMar>
            <w:vAlign w:val="center"/>
          </w:tcPr>
          <w:p>
            <w:pPr>
              <w:spacing w:line="260" w:lineRule="exact"/>
              <w:jc w:val="center"/>
              <w:rPr>
                <w:rFonts w:hint="eastAsia" w:ascii="仿宋_GB2312" w:hAnsi="宋体" w:eastAsia="仿宋_GB2312" w:cs="宋体"/>
                <w:color w:val="000000"/>
                <w:sz w:val="24"/>
              </w:rPr>
            </w:pPr>
            <w:r>
              <w:rPr>
                <w:rFonts w:hint="eastAsia" w:ascii="仿宋_GB2312" w:hAnsi="宋体" w:eastAsia="仿宋_GB2312" w:cs="宋体"/>
                <w:color w:val="000000"/>
                <w:sz w:val="24"/>
              </w:rPr>
              <w:t>特需</w:t>
            </w:r>
          </w:p>
          <w:p>
            <w:pPr>
              <w:spacing w:line="260" w:lineRule="exact"/>
              <w:jc w:val="center"/>
              <w:rPr>
                <w:rFonts w:hint="eastAsia" w:ascii="仿宋_GB2312" w:hAnsi="宋体" w:eastAsia="仿宋_GB2312" w:cs="宋体"/>
                <w:color w:val="000000"/>
                <w:sz w:val="24"/>
              </w:rPr>
            </w:pPr>
            <w:r>
              <w:rPr>
                <w:rFonts w:hint="eastAsia" w:ascii="仿宋_GB2312" w:hAnsi="宋体" w:eastAsia="仿宋_GB2312" w:cs="宋体"/>
                <w:color w:val="000000"/>
                <w:sz w:val="24"/>
              </w:rPr>
              <w:t>体检</w:t>
            </w:r>
          </w:p>
          <w:p>
            <w:pPr>
              <w:spacing w:line="260" w:lineRule="exact"/>
              <w:jc w:val="center"/>
              <w:rPr>
                <w:rFonts w:hint="eastAsia" w:ascii="仿宋_GB2312" w:hAnsi="宋体" w:eastAsia="仿宋_GB2312" w:cs="宋体"/>
                <w:color w:val="000000"/>
                <w:sz w:val="24"/>
              </w:rPr>
            </w:pPr>
            <w:r>
              <w:rPr>
                <w:rFonts w:hint="eastAsia" w:ascii="仿宋_GB2312" w:hAnsi="宋体" w:eastAsia="仿宋_GB2312" w:cs="宋体"/>
                <w:color w:val="000000"/>
                <w:sz w:val="24"/>
              </w:rPr>
              <w:t>套餐</w:t>
            </w:r>
          </w:p>
        </w:tc>
      </w:tr>
    </w:tbl>
    <w:p>
      <w:pPr>
        <w:snapToGrid w:val="0"/>
        <w:spacing w:line="360" w:lineRule="auto"/>
        <w:rPr>
          <w:rFonts w:hint="eastAsia" w:ascii="仿宋_GB2312" w:eastAsia="仿宋_GB2312"/>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0028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Office_11.8.2.9015_F1E327BC-269C-435d-A152-05C5408002CA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2025-08-26T02:32:25Z</dcterms:created>
  <dc:creator>Administrator</dc:creator>
  <cp:lastModifiedBy>Administrator</cp:lastModifiedBy>
  <dcterms:modified xsi:type="dcterms:W3CDTF">2025-08-26T02:32:52Z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2052-11.8.2.9015</vt:lpwstr>
  </property>
</Properties>
</file>