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24BA8">
      <w:pPr>
        <w:rPr>
          <w:rFonts w:ascii="仿宋_GB2312" w:eastAsia="仿宋_GB2312"/>
          <w:color w:val="333333"/>
          <w:sz w:val="32"/>
          <w:szCs w:val="32"/>
        </w:rPr>
      </w:pPr>
      <w:r>
        <w:rPr>
          <w:rFonts w:hint="eastAsia" w:ascii="仿宋_GB2312" w:eastAsia="仿宋_GB2312"/>
          <w:color w:val="333333"/>
          <w:sz w:val="32"/>
          <w:szCs w:val="32"/>
        </w:rPr>
        <w:t>附件：</w:t>
      </w:r>
    </w:p>
    <w:p w14:paraId="313FA3AD">
      <w:pPr>
        <w:widowControl/>
        <w:spacing w:line="700" w:lineRule="exact"/>
        <w:jc w:val="center"/>
        <w:rPr>
          <w:rFonts w:hint="eastAsia" w:ascii="宋体" w:hAnsi="宋体" w:eastAsia="方正小标宋_GBK" w:cs="宋体"/>
          <w:color w:val="000000"/>
          <w:kern w:val="0"/>
          <w:sz w:val="44"/>
          <w:szCs w:val="44"/>
          <w:lang w:bidi="ar"/>
        </w:rPr>
      </w:pPr>
      <w:r>
        <w:rPr>
          <w:rFonts w:hint="eastAsia" w:ascii="宋体" w:hAnsi="宋体" w:eastAsia="方正小标宋_GBK" w:cs="宋体"/>
          <w:color w:val="000000"/>
          <w:kern w:val="0"/>
          <w:sz w:val="44"/>
          <w:szCs w:val="44"/>
          <w:lang w:bidi="ar"/>
        </w:rPr>
        <w:t>温岭市第一人民医院非急救转运服务</w:t>
      </w:r>
    </w:p>
    <w:p w14:paraId="0BAD3DC8">
      <w:pPr>
        <w:widowControl/>
        <w:spacing w:line="700" w:lineRule="exact"/>
        <w:jc w:val="center"/>
        <w:rPr>
          <w:rFonts w:ascii="宋体" w:hAnsi="宋体" w:eastAsia="方正小标宋_GBK" w:cs="宋体"/>
          <w:color w:val="000000"/>
          <w:kern w:val="0"/>
          <w:sz w:val="44"/>
          <w:szCs w:val="44"/>
          <w:lang w:bidi="ar"/>
        </w:rPr>
      </w:pPr>
      <w:r>
        <w:rPr>
          <w:rFonts w:hint="eastAsia" w:ascii="宋体" w:hAnsi="宋体" w:eastAsia="方正小标宋_GBK" w:cs="宋体"/>
          <w:color w:val="000000"/>
          <w:kern w:val="0"/>
          <w:sz w:val="44"/>
          <w:szCs w:val="44"/>
          <w:lang w:bidi="ar"/>
        </w:rPr>
        <w:t>收费标准（试行）</w:t>
      </w:r>
    </w:p>
    <w:tbl>
      <w:tblPr>
        <w:tblStyle w:val="2"/>
        <w:tblpPr w:leftFromText="180" w:rightFromText="180" w:vertAnchor="text" w:horzAnchor="page" w:tblpXSpec="center" w:tblpY="354"/>
        <w:tblOverlap w:val="never"/>
        <w:tblW w:w="8693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4"/>
        <w:gridCol w:w="2209"/>
        <w:gridCol w:w="2723"/>
        <w:gridCol w:w="1907"/>
      </w:tblGrid>
      <w:tr w14:paraId="7D832E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18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7DBA7">
            <w:pPr>
              <w:snapToGrid w:val="0"/>
              <w:jc w:val="center"/>
              <w:rPr>
                <w:rFonts w:eastAsia="黑体" w:cs="仿宋_GB2312"/>
                <w:bCs/>
                <w:sz w:val="24"/>
              </w:rPr>
            </w:pPr>
            <w:r>
              <w:rPr>
                <w:rFonts w:hint="eastAsia" w:eastAsia="黑体" w:cs="仿宋_GB2312"/>
                <w:bCs/>
                <w:sz w:val="24"/>
              </w:rPr>
              <w:t>收费项目名称</w:t>
            </w:r>
          </w:p>
        </w:tc>
        <w:tc>
          <w:tcPr>
            <w:tcW w:w="2209" w:type="dxa"/>
            <w:tcBorders>
              <w:top w:val="single" w:color="auto" w:sz="8" w:space="0"/>
              <w:left w:val="outset" w:color="000000" w:sz="6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25FC5">
            <w:pPr>
              <w:snapToGrid w:val="0"/>
              <w:jc w:val="center"/>
              <w:rPr>
                <w:rFonts w:eastAsia="黑体" w:cs="仿宋_GB2312"/>
                <w:bCs/>
                <w:sz w:val="24"/>
              </w:rPr>
            </w:pPr>
            <w:r>
              <w:rPr>
                <w:rFonts w:hint="eastAsia" w:eastAsia="黑体" w:cs="仿宋_GB2312"/>
                <w:bCs/>
                <w:sz w:val="24"/>
              </w:rPr>
              <w:t>范围</w:t>
            </w:r>
          </w:p>
        </w:tc>
        <w:tc>
          <w:tcPr>
            <w:tcW w:w="272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0FB0F">
            <w:pPr>
              <w:snapToGrid w:val="0"/>
              <w:jc w:val="center"/>
              <w:rPr>
                <w:rFonts w:eastAsia="黑体" w:cs="仿宋_GB2312"/>
                <w:bCs/>
                <w:sz w:val="24"/>
              </w:rPr>
            </w:pPr>
            <w:r>
              <w:rPr>
                <w:rFonts w:hint="eastAsia" w:eastAsia="黑体" w:cs="仿宋_GB2312"/>
                <w:bCs/>
                <w:sz w:val="24"/>
              </w:rPr>
              <w:t>起步价</w:t>
            </w:r>
          </w:p>
        </w:tc>
        <w:tc>
          <w:tcPr>
            <w:tcW w:w="190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C36E8">
            <w:pPr>
              <w:snapToGrid w:val="0"/>
              <w:jc w:val="center"/>
              <w:rPr>
                <w:rFonts w:eastAsia="黑体" w:cs="仿宋_GB2312"/>
                <w:bCs/>
                <w:sz w:val="24"/>
              </w:rPr>
            </w:pPr>
            <w:r>
              <w:rPr>
                <w:rFonts w:hint="eastAsia" w:eastAsia="黑体" w:cs="仿宋_GB2312"/>
                <w:bCs/>
                <w:sz w:val="24"/>
              </w:rPr>
              <w:t>每公里车费</w:t>
            </w:r>
          </w:p>
        </w:tc>
      </w:tr>
      <w:tr w14:paraId="7F1263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1854" w:type="dxa"/>
            <w:tcBorders>
              <w:top w:val="outset" w:color="000000" w:sz="6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DFA58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</w:rPr>
              <w:t>短途转送</w:t>
            </w:r>
          </w:p>
        </w:tc>
        <w:tc>
          <w:tcPr>
            <w:tcW w:w="2209" w:type="dxa"/>
            <w:tcBorders>
              <w:top w:val="outset" w:color="000000" w:sz="6" w:space="0"/>
              <w:left w:val="outset" w:color="000000" w:sz="6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9C614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</w:rPr>
              <w:t>温岭市域范围内</w:t>
            </w:r>
          </w:p>
        </w:tc>
        <w:tc>
          <w:tcPr>
            <w:tcW w:w="2723" w:type="dxa"/>
            <w:tcBorders>
              <w:top w:val="outset" w:color="000000" w:sz="6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0CB5F">
            <w:pPr>
              <w:snapToGrid w:val="0"/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200元起步（10公里内）</w:t>
            </w:r>
          </w:p>
        </w:tc>
        <w:tc>
          <w:tcPr>
            <w:tcW w:w="1907" w:type="dxa"/>
            <w:tcBorders>
              <w:top w:val="outset" w:color="000000" w:sz="6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7011C">
            <w:pPr>
              <w:snapToGrid w:val="0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超出10公里部分8元/公里</w:t>
            </w:r>
          </w:p>
        </w:tc>
      </w:tr>
      <w:tr w14:paraId="5B8BAD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 w:hRule="atLeast"/>
        </w:trPr>
        <w:tc>
          <w:tcPr>
            <w:tcW w:w="1854" w:type="dxa"/>
            <w:tcBorders>
              <w:top w:val="outset" w:color="000000" w:sz="6" w:space="0"/>
              <w:left w:val="single" w:color="auto" w:sz="8" w:space="0"/>
              <w:bottom w:val="outset" w:color="000000" w:sz="6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FF28D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</w:rPr>
              <w:t>跨区转送</w:t>
            </w:r>
          </w:p>
        </w:tc>
        <w:tc>
          <w:tcPr>
            <w:tcW w:w="220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916D0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</w:rPr>
              <w:t>台州地区</w:t>
            </w:r>
          </w:p>
          <w:p w14:paraId="04CD12B1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</w:rPr>
              <w:t>（温岭市以外）</w:t>
            </w:r>
          </w:p>
        </w:tc>
        <w:tc>
          <w:tcPr>
            <w:tcW w:w="2723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2BDB5">
            <w:pPr>
              <w:snapToGrid w:val="0"/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400元起步（20公里内）</w:t>
            </w:r>
          </w:p>
        </w:tc>
        <w:tc>
          <w:tcPr>
            <w:tcW w:w="1907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4A570">
            <w:pPr>
              <w:snapToGrid w:val="0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超出20公里部分8元/公里</w:t>
            </w:r>
          </w:p>
        </w:tc>
      </w:tr>
      <w:tr w14:paraId="751216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1854" w:type="dxa"/>
            <w:tcBorders>
              <w:top w:val="outset" w:color="000000" w:sz="6" w:space="0"/>
              <w:left w:val="single" w:color="auto" w:sz="8" w:space="0"/>
              <w:bottom w:val="outset" w:color="000000" w:sz="6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E2611">
            <w:pPr>
              <w:widowControl/>
              <w:snapToGrid w:val="0"/>
              <w:jc w:val="center"/>
              <w:rPr>
                <w:rFonts w:asciiTheme="minorEastAsia" w:hAnsi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</w:rPr>
              <w:t>长途转送</w:t>
            </w:r>
          </w:p>
        </w:tc>
        <w:tc>
          <w:tcPr>
            <w:tcW w:w="220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71047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</w:rPr>
              <w:t>跨市</w:t>
            </w:r>
          </w:p>
          <w:p w14:paraId="23A82CD1">
            <w:pPr>
              <w:snapToGrid w:val="0"/>
              <w:jc w:val="center"/>
              <w:rPr>
                <w:rFonts w:asciiTheme="minorEastAsia" w:hAnsi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</w:rPr>
              <w:t>（台州市以外）</w:t>
            </w:r>
          </w:p>
        </w:tc>
        <w:tc>
          <w:tcPr>
            <w:tcW w:w="2723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C0A2C">
            <w:pPr>
              <w:snapToGrid w:val="0"/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500元起步（30公里内）</w:t>
            </w:r>
          </w:p>
        </w:tc>
        <w:tc>
          <w:tcPr>
            <w:tcW w:w="1907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EEEF5">
            <w:pPr>
              <w:snapToGrid w:val="0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超出30公里部分10元/公里</w:t>
            </w:r>
          </w:p>
        </w:tc>
      </w:tr>
      <w:tr w14:paraId="1A8F2D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854" w:type="dxa"/>
            <w:tcBorders>
              <w:top w:val="outset" w:color="000000" w:sz="6" w:space="0"/>
              <w:left w:val="single" w:color="auto" w:sz="8" w:space="0"/>
              <w:bottom w:val="outset" w:color="000000" w:sz="6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7627C">
            <w:pPr>
              <w:widowControl/>
              <w:snapToGrid w:val="0"/>
              <w:jc w:val="center"/>
              <w:rPr>
                <w:rFonts w:asciiTheme="minorEastAsia" w:hAnsi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</w:rPr>
              <w:t>车辆等候费</w:t>
            </w:r>
          </w:p>
        </w:tc>
        <w:tc>
          <w:tcPr>
            <w:tcW w:w="6839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A12C8">
            <w:pPr>
              <w:widowControl/>
              <w:snapToGrid w:val="0"/>
              <w:jc w:val="left"/>
              <w:rPr>
                <w:rFonts w:asciiTheme="minorEastAsia" w:hAnsi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</w:rPr>
              <w:t>免费等待30分钟，超出部分按80元/30分钟计算（不到30分钟按30分钟计时）</w:t>
            </w:r>
          </w:p>
        </w:tc>
      </w:tr>
      <w:tr w14:paraId="6A7F4A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1854" w:type="dxa"/>
            <w:tcBorders>
              <w:top w:val="outset" w:color="000000" w:sz="6" w:space="0"/>
              <w:left w:val="single" w:color="auto" w:sz="8" w:space="0"/>
              <w:bottom w:val="outset" w:color="000000" w:sz="6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0B7AD">
            <w:pPr>
              <w:widowControl/>
              <w:snapToGrid w:val="0"/>
              <w:jc w:val="center"/>
              <w:rPr>
                <w:rFonts w:asciiTheme="minorEastAsia" w:hAnsi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</w:rPr>
              <w:t>抬楼服务费</w:t>
            </w:r>
          </w:p>
        </w:tc>
        <w:tc>
          <w:tcPr>
            <w:tcW w:w="6839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3292A">
            <w:pPr>
              <w:widowControl/>
              <w:snapToGrid w:val="0"/>
              <w:jc w:val="left"/>
              <w:rPr>
                <w:rFonts w:asciiTheme="minorEastAsia" w:hAnsiTheme="minorEastAsia" w:cs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</w:rPr>
              <w:t>1层至3层50元，4层及以上100元。</w:t>
            </w:r>
          </w:p>
          <w:p w14:paraId="665F20EE">
            <w:pPr>
              <w:widowControl/>
              <w:snapToGrid w:val="0"/>
              <w:jc w:val="left"/>
              <w:rPr>
                <w:rFonts w:asciiTheme="minorEastAsia" w:hAnsi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</w:rPr>
              <w:t>&lt;400公里的转运服务由1位驾驶员（救护员）护送，需患方一同协助搬抬，本项费用在上述服务收费基础上另外加收。</w:t>
            </w:r>
          </w:p>
        </w:tc>
      </w:tr>
    </w:tbl>
    <w:p w14:paraId="3054ADF3">
      <w:pPr>
        <w:snapToGrid w:val="0"/>
        <w:spacing w:line="560" w:lineRule="exact"/>
        <w:jc w:val="lef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备注：</w:t>
      </w:r>
    </w:p>
    <w:p w14:paraId="3BA206CA">
      <w:pPr>
        <w:snapToGrid w:val="0"/>
        <w:spacing w:line="560" w:lineRule="exact"/>
        <w:ind w:firstLine="560" w:firstLineChars="200"/>
        <w:rPr>
          <w:rFonts w:ascii="宋体" w:hAnsi="宋体" w:eastAsia="宋体" w:cs="楷体_GB2312"/>
          <w:sz w:val="28"/>
          <w:szCs w:val="28"/>
        </w:rPr>
      </w:pPr>
      <w:r>
        <w:rPr>
          <w:rFonts w:hint="eastAsia" w:ascii="宋体" w:hAnsi="宋体" w:eastAsia="宋体" w:cs="楷体_GB2312"/>
          <w:sz w:val="28"/>
          <w:szCs w:val="28"/>
        </w:rPr>
        <w:t>1.里程费收取单程费用；过路过桥费由患方按照单程实际产生费用自行承担，不含在上述收费中。</w:t>
      </w:r>
    </w:p>
    <w:p w14:paraId="51EB401C">
      <w:pPr>
        <w:snapToGrid w:val="0"/>
        <w:spacing w:line="560" w:lineRule="exact"/>
        <w:ind w:firstLine="560" w:firstLineChars="200"/>
        <w:rPr>
          <w:rFonts w:ascii="宋体" w:hAnsi="宋体" w:eastAsia="宋体" w:cs="楷体_GB2312"/>
          <w:sz w:val="28"/>
          <w:szCs w:val="28"/>
        </w:rPr>
      </w:pPr>
      <w:r>
        <w:rPr>
          <w:rFonts w:hint="eastAsia" w:ascii="宋体" w:hAnsi="宋体" w:eastAsia="宋体" w:cs="楷体_GB2312"/>
          <w:sz w:val="28"/>
          <w:szCs w:val="28"/>
        </w:rPr>
        <w:t>2.里程数以患者始发点为起始，转运目的地为终点，不足1公里按1公里计算，转运距离&gt;400公里时配备2位驾驶员。</w:t>
      </w:r>
    </w:p>
    <w:p w14:paraId="49074C03">
      <w:pPr>
        <w:snapToGrid w:val="0"/>
        <w:spacing w:line="560" w:lineRule="exact"/>
        <w:ind w:firstLine="560" w:firstLineChars="200"/>
        <w:rPr>
          <w:rFonts w:ascii="宋体" w:hAnsi="宋体" w:eastAsia="宋体" w:cs="楷体_GB2312"/>
          <w:sz w:val="28"/>
          <w:szCs w:val="28"/>
        </w:rPr>
      </w:pPr>
      <w:r>
        <w:rPr>
          <w:rFonts w:hint="eastAsia" w:ascii="宋体" w:hAnsi="宋体" w:eastAsia="宋体" w:cs="楷体_GB2312"/>
          <w:sz w:val="28"/>
          <w:szCs w:val="28"/>
        </w:rPr>
        <w:t>3.承担非急救转运任务的车辆须按《温岭市非急救转运服务车辆装备基本标准》规定，配备相应的设施设备。</w:t>
      </w:r>
    </w:p>
    <w:p w14:paraId="37FBE0C3">
      <w:pPr>
        <w:snapToGrid w:val="0"/>
        <w:spacing w:line="560" w:lineRule="exact"/>
        <w:ind w:firstLine="560" w:firstLineChars="200"/>
        <w:rPr>
          <w:rFonts w:ascii="宋体" w:hAnsi="宋体" w:eastAsia="宋体" w:cs="楷体_GB2312"/>
          <w:sz w:val="28"/>
          <w:szCs w:val="28"/>
        </w:rPr>
      </w:pPr>
      <w:r>
        <w:rPr>
          <w:rFonts w:hint="eastAsia" w:ascii="宋体" w:hAnsi="宋体" w:eastAsia="宋体" w:cs="楷体_GB2312"/>
          <w:sz w:val="28"/>
          <w:szCs w:val="28"/>
        </w:rPr>
        <w:t>4.使用颈托、骨折固定夹板、心电监护、氧气、被子等不再收取费用。</w:t>
      </w:r>
    </w:p>
    <w:p w14:paraId="54EA723A">
      <w:pPr>
        <w:snapToGrid w:val="0"/>
        <w:spacing w:line="560" w:lineRule="exact"/>
        <w:ind w:firstLine="560" w:firstLineChars="200"/>
        <w:rPr>
          <w:rFonts w:ascii="宋体" w:hAnsi="宋体" w:eastAsia="宋体"/>
        </w:rPr>
      </w:pPr>
      <w:r>
        <w:rPr>
          <w:rFonts w:hint="eastAsia" w:ascii="宋体" w:hAnsi="宋体" w:eastAsia="宋体" w:cs="楷体_GB2312"/>
          <w:sz w:val="28"/>
          <w:szCs w:val="28"/>
        </w:rPr>
        <w:t>5.同一转运任务要求带回的，回程收费按半价收取。</w:t>
      </w:r>
    </w:p>
    <w:p w14:paraId="412D0FA9"/>
    <w:p w14:paraId="0AA0C2F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DA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2025-08-22T00:24:09Z</dcterms:created>
  <dc:creator>Administrator</dc:creator>
  <cp:lastModifiedBy>欢</cp:lastModifiedBy>
  <dcterms:modified xsi:type="dcterms:W3CDTF">2025-08-22T00:24:30Z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eyJoZGlkIjoiODM5NDI5ZjRkODQ4ZGYxNmRmYmVjMDEwZjZkMzBiYjEiLCJ1c2VySWQiOiIyMTY4MTgyNDUifQ==</vt:lpwstr>
  </property>
  <property fmtid="{D5CDD505-2E9C-101B-9397-08002B2CF9AE}" pid="4" name="ICV">
    <vt:lpwstr>26A79D3B94E54D0184DACCD63B877A48_12</vt:lpwstr>
  </property>
</Properties>
</file>