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A07036">
      <w:pPr>
        <w:jc w:val="center"/>
        <w:rPr>
          <w:rFonts w:ascii="方正小标宋简体" w:eastAsia="方正小标宋简体"/>
          <w:b/>
          <w:bCs/>
          <w:sz w:val="36"/>
          <w:szCs w:val="36"/>
        </w:rPr>
      </w:pPr>
      <w:bookmarkStart w:id="0" w:name="_Hlk199512984"/>
      <w:r>
        <w:rPr>
          <w:rFonts w:hint="eastAsia" w:ascii="方正小标宋简体" w:eastAsia="方正小标宋简体"/>
          <w:b/>
          <w:bCs/>
          <w:sz w:val="36"/>
          <w:szCs w:val="36"/>
        </w:rPr>
        <w:t>温岭市第一人民医院新增</w:t>
      </w:r>
    </w:p>
    <w:p w14:paraId="11B05813">
      <w:pPr>
        <w:jc w:val="center"/>
        <w:rPr>
          <w:rFonts w:ascii="方正小标宋简体" w:eastAsia="方正小标宋简体"/>
          <w:b/>
          <w:bCs/>
          <w:sz w:val="36"/>
          <w:szCs w:val="36"/>
        </w:rPr>
      </w:pPr>
      <w:r>
        <w:rPr>
          <w:rFonts w:hint="eastAsia" w:ascii="方正小标宋简体" w:eastAsia="方正小标宋简体"/>
          <w:b/>
          <w:bCs/>
          <w:sz w:val="36"/>
          <w:szCs w:val="36"/>
        </w:rPr>
        <w:t>特需医疗服务项目价格公示表</w:t>
      </w:r>
      <w:bookmarkStart w:id="1" w:name="_GoBack"/>
      <w:bookmarkEnd w:id="1"/>
    </w:p>
    <w:p w14:paraId="626E9449">
      <w:pPr>
        <w:jc w:val="center"/>
        <w:rPr>
          <w:rFonts w:hint="default" w:ascii="方正小标宋简体" w:eastAsia="方正小标宋简体"/>
          <w:b/>
          <w:bCs/>
          <w:sz w:val="36"/>
          <w:szCs w:val="36"/>
          <w:lang w:val="en-US" w:eastAsia="zh-CN"/>
        </w:rPr>
      </w:pPr>
    </w:p>
    <w:bookmarkEnd w:id="0"/>
    <w:tbl>
      <w:tblPr>
        <w:tblStyle w:val="2"/>
        <w:tblW w:w="1013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1548"/>
        <w:gridCol w:w="1599"/>
        <w:gridCol w:w="2412"/>
        <w:gridCol w:w="987"/>
        <w:gridCol w:w="906"/>
        <w:gridCol w:w="1042"/>
        <w:gridCol w:w="1000"/>
      </w:tblGrid>
      <w:tr w14:paraId="01A15B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A861A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1FE4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项目编码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B938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 xml:space="preserve">项目名称           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A567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项目服务内容（内涵）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9DBC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除外内容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8EA2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计价</w:t>
            </w:r>
          </w:p>
          <w:p w14:paraId="44C272E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单位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BD8C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收费标准（元）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92D1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14:paraId="3D5A22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7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801C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BFB5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T0070341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FE3F6">
            <w:pPr>
              <w:widowControl/>
              <w:textAlignment w:val="top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干眼强脉冲光治疗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04C32">
            <w:pPr>
              <w:rPr>
                <w:rFonts w:ascii="Calibri" w:hAnsi="Calibri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术前评估，皮肤清洁：清除眼周油脂、化妆品残留。涂抹冷凝胶，眼睑保护：佩戴专用眼罩或护目镜，避免强光直接照射眼球。</w:t>
            </w:r>
            <w:r>
              <w:rPr>
                <w:rFonts w:ascii="Calibri" w:hAnsi="Calibri" w:cs="Calibri"/>
                <w:szCs w:val="21"/>
                <w:lang w:bidi="ar"/>
              </w:rPr>
              <w:t>PL</w:t>
            </w:r>
            <w:r>
              <w:rPr>
                <w:rFonts w:hint="eastAsia" w:ascii="宋体" w:hAnsi="宋体" w:cs="宋体"/>
                <w:szCs w:val="21"/>
                <w:lang w:bidi="ar"/>
              </w:rPr>
              <w:t>照射：使用特定波长（通常为</w:t>
            </w:r>
            <w:r>
              <w:rPr>
                <w:rFonts w:ascii="Calibri" w:hAnsi="Calibri" w:cs="Calibri"/>
                <w:szCs w:val="21"/>
                <w:lang w:bidi="ar"/>
              </w:rPr>
              <w:t>500-600nm</w:t>
            </w:r>
            <w:r>
              <w:rPr>
                <w:rFonts w:hint="eastAsia" w:ascii="宋体" w:hAnsi="宋体" w:cs="宋体"/>
                <w:szCs w:val="21"/>
                <w:lang w:bidi="ar"/>
              </w:rPr>
              <w:t>或近红外光）的脉冲光，照射眼周皮肤（上下睑缘）。光能转化为热能，软化睑脂，疏通阻塞的睑板腺。抑制炎症介质（如</w:t>
            </w:r>
            <w:r>
              <w:rPr>
                <w:rFonts w:ascii="Calibri" w:hAnsi="Calibri" w:cs="Calibri"/>
                <w:szCs w:val="21"/>
                <w:lang w:bidi="ar"/>
              </w:rPr>
              <w:t>IL-6</w:t>
            </w:r>
            <w:r>
              <w:rPr>
                <w:rFonts w:hint="eastAsia" w:ascii="宋体" w:hAnsi="宋体" w:cs="宋体"/>
                <w:szCs w:val="21"/>
                <w:lang w:bidi="ar"/>
              </w:rPr>
              <w:t>、</w:t>
            </w:r>
            <w:r>
              <w:rPr>
                <w:rFonts w:ascii="Calibri" w:hAnsi="Calibri" w:cs="Calibri"/>
                <w:szCs w:val="21"/>
                <w:lang w:bidi="ar"/>
              </w:rPr>
              <w:t>TNF-</w:t>
            </w:r>
            <w:r>
              <w:rPr>
                <w:rFonts w:hint="eastAsia" w:ascii="宋体" w:hAnsi="宋体" w:cs="宋体"/>
                <w:szCs w:val="21"/>
                <w:lang w:bidi="ar"/>
              </w:rPr>
              <w:t>α），减轻睑缘炎症。治疗后进行睑板腺按摩</w:t>
            </w:r>
          </w:p>
          <w:p w14:paraId="79A7B98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5AA6A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/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849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次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BD91F">
            <w:pPr>
              <w:tabs>
                <w:tab w:val="left" w:pos="295"/>
              </w:tabs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600.00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521E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123012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8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B3A2D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F3D0F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T0070342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07ED1">
            <w:pPr>
              <w:widowControl/>
              <w:textAlignment w:val="top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皮肤检测评估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0D3DA">
            <w:pPr>
              <w:widowControl/>
              <w:jc w:val="left"/>
              <w:rPr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充分暴露检查部位，消毒设备镜头，镜头贴近目标皮损，采集图像，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基于检查者经验或相关软件，对皮 损的色泽、边界、血管等形态特征进行量化分析和评估，必要时需要对不同部位取多个点进行测试，进行综合分析计算，人工分析报告。 </w:t>
            </w:r>
          </w:p>
          <w:p w14:paraId="0B2782B9">
            <w:pPr>
              <w:widowControl/>
              <w:jc w:val="left"/>
            </w:pPr>
          </w:p>
          <w:p w14:paraId="69ED24DA">
            <w:pPr>
              <w:widowControl/>
              <w:jc w:val="left"/>
              <w:textAlignment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E5B84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/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CC6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次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3F8C1">
            <w:pPr>
              <w:tabs>
                <w:tab w:val="left" w:pos="295"/>
              </w:tabs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80.00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EC57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0547DE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8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EB0D30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56146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T0070343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B7041">
            <w:pPr>
              <w:widowControl/>
              <w:textAlignment w:val="top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黄极光舒敏抗炎治疗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5D6BD"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开机，选择derma-590治疗模块，根据皮肤情况，在界面右侧选择光源类型并设定对应的治疗时间，患者佩戴护目镜，治疗模块出光面距离皮肤10cm，按界面“开始”键开始光照，时间倒计结束，治疗完成。</w:t>
            </w:r>
          </w:p>
          <w:p w14:paraId="52D4DFAD">
            <w:pPr>
              <w:widowControl/>
              <w:jc w:val="left"/>
              <w:textAlignment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319E5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/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CC3A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次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1A17C">
            <w:pPr>
              <w:tabs>
                <w:tab w:val="left" w:pos="295"/>
              </w:tabs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80.00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2FBF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62CAE3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8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6BAFD4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4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76890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T0070344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E52CC">
            <w:pPr>
              <w:widowControl/>
              <w:textAlignment w:val="top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面部射频修复治疗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D3B54"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开启主机，根据皮肤类型设置能量及参数，手柄安装去离子水，检查治疗头连接及出气、出水情况，准备适合导入产品，均匀涂抹于面部治疗部位，按“开始”键开始治疗，以打圈方式操作，操作方向由下至上，以半脸对比方式操作，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全脸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治疗结束，关机，清洁设备。</w:t>
            </w:r>
          </w:p>
          <w:p w14:paraId="59887CEB">
            <w:pPr>
              <w:widowControl/>
              <w:jc w:val="left"/>
              <w:textAlignment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26113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/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5B46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次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4A102">
            <w:pPr>
              <w:tabs>
                <w:tab w:val="left" w:pos="295"/>
              </w:tabs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300.00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ACEAB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14:paraId="19DA544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2F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2025-06-04T01:19:35Z</dcterms:created>
  <dc:creator>Administrator</dc:creator>
  <cp:lastModifiedBy>欢</cp:lastModifiedBy>
  <dcterms:modified xsi:type="dcterms:W3CDTF">2025-06-04T01:20:45Z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eyJoZGlkIjoiODM5NDI5ZjRkODQ4ZGYxNmRmYmVjMDEwZjZkMzBiYjEiLCJ1c2VySWQiOiIyMTY4MTgyNDUifQ==</vt:lpwstr>
  </property>
  <property fmtid="{D5CDD505-2E9C-101B-9397-08002B2CF9AE}" pid="4" name="ICV">
    <vt:lpwstr>181AB76C440C4556A9375AFC2D1C63D7_12</vt:lpwstr>
  </property>
</Properties>
</file>